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4F4BC" w14:textId="77777777" w:rsidR="008903DE" w:rsidRPr="008903DE" w:rsidRDefault="008903DE" w:rsidP="008903DE">
      <w:r w:rsidRPr="008903DE">
        <w:t xml:space="preserve">guys! Welcome back! Or welcome to my channel if you're new here! Don't forget to Like, Comment, Subscribe and Turn on Notification! Let's eat! First bite is all yours! It's so good! Let's try it with the sauce! It's so good! Let's try it with the sauce! It's so good! Let's try it with the sauce! It's so good! Let's try it with the sauce! It's so good! Let's try it with the sauce! It's so good! Let's try it with the sauce! It's so good! Let's try it with the sauce! It's so good! Let's try it with the sauce! It's so good! Let's try it with the sauce! It's so good! Let's try it with the sauce! Let's try it with the sauce! Let's try it with the sauce! Let's try it with the sauce! Let's try it with the sauce! Let's try it with the sauce! Let's try it with the sauce! It's delicious, isn't it? It's delicious, isn't it? This sauce goes well with kimchi, too The sauce is so delicious The sauce is so delicious The sauce is so delicious It's delicious, isn't it? It's delicious, isn't it? I'm done eating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It's delicious, isn't it? Did you have to increase your reserves for stop loss this year? Did you have to increase your reserves for stop loss this year? It's delicious, isn't it? It's delicious. Every day, you know, the rent rolls are moving based upon employer actions, whether people are coming in, going out, etc. The net of it has been about stable. We were anxious about this in 25, by the way, because the economy, from our point of view, the economy in 25 was other than thriving. But it was stable. It's fundamentally stable. And I think in part what we dealt with is the lagged effect of many employers being underemployed on the back end of COVID and some still chasing that while some others are rightsizing. Two, we obviously see the headlines you see. We see UPS. We see Amazon. We see other activities. But the net effect of it thus far, including through the early part of the first quarter, non-issue. A couple of the pieces. When the exchange did not exist, something called COBRA was a big deal. COBRA was a net economic negative for any insurer. It's a much smaller event now because oftentimes when people are dislocated, they'll find that exchange offering that works for them. So the economics of disenrollment are a little bit more predictable and less disrupted. And then finally, what I would say to you directly from a 2026 standpoint, given where we are through the start of the year, it should not </w:t>
      </w:r>
      <w:r w:rsidRPr="008903DE">
        <w:lastRenderedPageBreak/>
        <w:t xml:space="preserve">be a newsworthy item from a P&amp;L driver that we talk about this year. Even if it softens in the latter part of the year, you're now managing economics and what's called member months. Right. Lives are lives per month. Economics are per month. So it's member month contribution run out of that, et cetera. So this will be a 27 conversation for us to monitor and think through. But I don't see that as a big variant right now for our book of business. Got it. Maybe one. If I could attach an asterisk on it where there is a lot of churn and you all might. Maybe we're going to ask the question. Some people are saying, hey, I'm losing guarantee cost business. Competitor A, competitor B, competitor C. We don't play in the under 50 market. So the small group regulated market, some states cut it under 100. We don't play there. There's high churn there. There's high, high, high churn there. I'm not in there, so I'm not seeing that disruption. I see a little bit of it in my Evernorth health plan business when I'm supporting them. But on the health plan side, we're not seeing that. Some people are big players in there are seeing it. We're not seeing that. Thank you. Maybe one housekeeping question around taxes. So I was a little nervous when I saw the FTC lawsuit settlement announcement yesterday and saw that you were onshoring your GPO. And I guess the context of the question is when I look at the progression of your tax rate over the years, 25 percent in 2018, steady downward moves throughout the year now sitting at 19 percent. When I contrast that to like CVS at 25, 26 percent, like Cardinal at 23, 24 percent, it seems like your tax rate is meaningfully lower than some of the other U.S. Dinosaur companies. So it was encouraging to hear that you think there's like a maximum 1 percent impact from onshoring of the GPO. But I guess how much visibility do you have into that? And is there anything obvious that I'm missing as to why this lower than competitor tax rate is a sustainable one? Yeah. If you look at the last handful of years, our tax rate is aggregated in the low 20s, high teens. So it's not a one time event, number one. Two, very specifically, and then I'll come back. We've looked at that's why we created transparency. The transition of the GPO is up to one point of effective tax rate in the future if unmitigated. So don't think about that as a 26. Don't think about that as a 27. In the future, think about it as starting to be blended in 28 and beyond if unmitigated. But you can do the math on the 1 percent if you want to take the bear case relative to that. Lastly, to the core of your question, I'd come at it in terms of business mix. I run a non-U.S. business within my portfolio that's taxing the respective jurisdictions outside of it. I have more service business as a percent of my business than others have in terms of premium taxes, state taxes and other activities that exist. So when you come through the capital efficient framework, remember, 85 percent of my CHC business is ASO. Nobody approaches that percentage. There's a different tax </w:t>
      </w:r>
      <w:r w:rsidRPr="008903DE">
        <w:lastRenderedPageBreak/>
        <w:t xml:space="preserve">profile state by state that rolls up into your overall tax rate as well. So I haven't stopped to dismantle CVS versus somebody else's. I've always had a tax advantage. Part of that is the book of business that we operate. Lastly, I give great accolades to our tax team. We view that as an active tool to manage. It's not a passive tool. That's an active tool to manage. I'm paying my responsible tax rate, but that's an active tool to manage. Got it. Go ahead, Nick. Good morning, afternoon, I guess. A couple of things. I'm going to rapid fire the questions here. I guess first and foremost, when we look at the FTC settlement, what is incremental in that settlement from when you updated us last quarter that you were making the PBM investments? That's question one. Two, are all of the things that are in that settlement already being done by your peers? Just help us bridge that gap. Question three is how do we think then about margin expansion when you're done making investments? Think about it as 2028. Yep. Then one more is I know you're not in the MA business anymore. Obviously, you just testified and we saw what that rate was. But I'd be curious to get your thoughts in terms of what the priorities of this administration are and whether or not this is an area of business that you think is attractive over the long term. A lot there, but thank you. Yeah, I'm looking at the clock. We have 12 minutes and four great questions at a minimum. So let me take them fast fire. Question one was what's new? To give you context, find that answer, not to filibuster you. What do we do that led to where we are today as of yesterday with the FTC announcement? We were steadfast that the market needed a clearing event. I've been very consistent on that. It was going to happen legislatively first with other tools to follow, regulatorily first or innovation and commercial. We decided in 2025 we were going to control our own destiny and do it commercially. We started working on the new offering in early 25. We announced the architecture of it when it was sufficiently clear and complete in the third quarter of 25. That's the starting point of this. We gave the architecture and the building specs for that to our team and said, go talk to the FTC about it. Because we think what the FTC wants and what we want are totally aligned. And instead of words, there's substance there. Let them see underneath the curtains. The result of that is in the grand scheme of things, in terms of what I worry about, there's nothing new in the settlement macro. I'm not the lawyer, but we've ground through this over and over in terms of what's in there that's not contemplated in the future we're building. That's your first question. And again, we gave them visibility to the architecture of what we built out. Sure. So the GPO, because that was new to me, moving that to the United States. I don't think we talked about that on the third quarter call. We didn't. We didn't. We viewed that two things. One. What does that effectively do? What does that </w:t>
      </w:r>
      <w:r w:rsidRPr="008903DE">
        <w:lastRenderedPageBreak/>
        <w:t xml:space="preserve">effectively change? Who cares? Other than the tax rate and whatnot. But is there a functional change that matters? I'm going to try to be polite and respectful, not to you all, to the environment. There's certain people in Washington that are scorekeeping, like, is the U.S. winning or not? That was an important headline win for people driving the FTC bus to give to certain people who are scorekeeping. Right. So I need to not be tone deaf. The future model that we built doesn't have rebates. So where the procurement of rebates takes place in the future for me isn't that important anymore. So I can meet a headline that they want. Right. We knew that was coming if we're going to deal with them, because a certain party is very clear in terms of how they're scorekeeping it. Got it. Just like if you read through it, it's important that TrumpRx is referenced in there as well. Understood. Okay. So I'm with you on that. And then I guess kind of if you can pivot now to question two, which is, you know, where are you different now in this offering versus the rest of your peers? It's totally different is the answer. And I'm not being arrogant. I'm being blunt. The answer in the third quarter was by the peers is we're already there with pass-through rebates or point-of-service rebates. Pass-through rebates have existed for the last 10, 15 years. Over 95 percent of our business passes through rebates today. Point-of-service rebate capability has been available for well over a decade as well. No one uses them. Medicare doesn't use it for PDP. The pharma manufacturers themselves don't use it for their own offerings when they buy a PBM. The insurers who own PBMs don't use it for their own employees because it actually doesn't work without redesigning everything. It creates moment-in-time radical dislocations. So the fact that the market kind of doubled down on were there already internally, I view it as a huge positive in the third quarter. That gives me more time to create more of a lead. I think the shock to the system is that the FTC just came out and blessed this as the future. And the last piece I will add to this is that it now will become more obvious for employers that fiduciarily, you have to put the customer's financial interest in a point of transparency and ensure no dislocation. Just like the 401K industry had to do a long time ago to make sure there's no micro-fee dislocation between the fiduciary and the consumer, this is going to look very similar to that. Our forward-looking architecture has that squared away. The other architectures don't. Okay, to go to your third question? Yes, on to margins, please. So here's how I think about the margin. Macro, you can think about that business makes about a buck and a half for every prescription it's accountable for. I oversimplify. If you pencil it, it's not going to come exactly there. We touch about two billion prescriptions. Two billion times a buck and a half is $3 billion. I'm using big boxcars. What do we get paid for? We get paid to negotiate lower prices on the supply </w:t>
      </w:r>
      <w:r w:rsidRPr="008903DE">
        <w:lastRenderedPageBreak/>
        <w:t xml:space="preserve">side. We get paid to form and manage access, known as networks, retail, mail order, etc. We get paid to adjudicate massive volumes of administrative activity, claims, eligibility, etc. We get paid for safety and clinical programs. And increasingly, we get paid for chronic care management programs and clinical optimization. That's yesterday, tomorrow, we'll get paid for. We just get paid differently. We'll get paid a fee per script and more for the clinical programs on a go-forward basis. What it will result in, today in the marketplace, you may make $25. I'm using arbitrary measures on one script. And you may lose $17 on another one. And all of that shakes through and nets to the buck and a half. Tomorrow, the call is going to be really tight because transparency is going to shake all that out. You'll still be back at about the dollar and a half per script. The marketplace will squeeze that out. Hence our comments that given the way we built this, given our lessons learned on no rebate, no spread, DTC, etc., economically, we'll yield approximately the same margin because that's a sustainable margin for us. The economic pods will be a little different. And there will be less variability, which is good because it's the variability where the marketplace attacks. Why are you making $25 here? No one says, why are you losing $17 here? No one wants to talk about that. It's why you're making $25 because I'm losing $17 here. All that gets squeezed out in the new model going forward. And the net margin is about the same. That's not a 26 question. It's not really a 27 question because we'll start consuming this and take the healthcare for the guaranteed cost lives. It will start to become a reality in 2028 when the transition cuts across. Nick, is that helpful? Yeah, it's helpful. I guess, you know, I guess what we're thinking about is today's margin is kind of the sustainable margin. Or would there be room to, you know, with the new clinical programs and whatnot to actually be able to expand margins? So I appreciate your optimism. I take today's margin as the floor. And I actually believe internally we have the ability to expand margins. In part why? Unfortunately, our society continues to get less healthy. Unfortunately, the majority of our society has at least one chronic illness. Unfortunately, 90% of all the costs exist in the chronic and mentally health challenge population. That's where we're at our best. That's where our capabilities are at our best. So I see upside there, but we're not promising that yet. I want to be mindful of your time on MA. MA is a mess. Right? You guys know that. Unfortunately, it's a mess because the government has concluded that the private sector is over-earning. Full stop. And D's and R's agree with that. Whether they're right or wrong, we can debate it. But at its core, that's the problem statement. They concluded that they're over-earning because either A, risk adjusters, or B, vertical integration and hiding money. In either case, you're over-earning. So they're using the tools that they </w:t>
      </w:r>
      <w:r w:rsidRPr="008903DE">
        <w:lastRenderedPageBreak/>
        <w:t xml:space="preserve">have to extract their pound of flesh and rebase the business. And I don't know if it was two years ago or three years ago. I remember being in D.C. and a couple senior people put in front of me because we were a very small player in the space. And we didn't own care delivery. So we weren't an outlier on risk adjusters or otherwise. And they put a single legal piece of paper in front of me with about 50 bar charts on it from 1.0 on the left to 1.94 on the right. I'm a visual person, so I could see it. And so it went like this, 1.0, and it ramped up to 1.94. And there's a little squiggly line at about 1.4. What it was was all the players in MA and their risk adjuster revenue. And there's a squiggly line where they said it's impossible to be above 1.4 on average. So their hypothesis was everybody above 1.4 was fleecing the system. I'm using crude words to be directionally correct. And when you stare at the 175s, 18s, 19s, they were apoplectic. And so they've been essentially rebasing the system. I believe MA is good for society. The average MA person has a lower income. The average MA person gets better clinical outcomes. The average MA person has higher MPS or satisfaction. So they are not going to be caught in a vortex of high benefit variability, et cetera, player by player by player as we go forward. But it's going through a rebasing. I philosophically believe it's good from a societal standpoint. Our game theory a few years ago was it's not a place to be in, given our scale. It's not a good place to drive your roller coaster through because it's going to be bloody. And if you have the scale to go through it and you want to be on the other side, hence we pulled the ripcord and exited. And we leaned in more aggressively in terms of the services through Evernorth in support of other health plans through that lens. And we continue to drive that. That's the read of digest of MA. I'm disappointed that that's taking place because it's not good for our industry. And if you listen to any of the conversation relative to the hearings, whatever it was a week or two ago, time blurs in my mind. There's an underlying hypothesis of over-earning and there's an underlying hypothesis that vertical integration is used to hide money. That's not healthy. That's not good for our industry. I guess the follow-up on that is kind of are we at the trough of an underwriting cycle? And I would say if you could stay between commercial Medicare and Medicaid. So you're hard pivoting on me with your questions and now going there. I view each one of them differently. So just for a moment, Medicaid. Medicaid had two wild infusions of volume that went through. You know, you can go back and look. ACA, a massive step function of volume went in. It got relatively stable. COVID, another massive step function. COVID was all temporary dollars, no guardrails on what came through the front end, et cetera. And we can see some of the MLR craziness there through our services business. We weren't benefiting from it. And we're on record in terms of our </w:t>
      </w:r>
      <w:r w:rsidRPr="008903DE">
        <w:lastRenderedPageBreak/>
        <w:t>MLR not benefiting from the low Medicaid MCR. So states are doing the same thing the federal government is doing on Medicare but for a different reason. They're trying to rebase the economics. I think it's getting close to its floor. So you're shaking through volume with redeterminations and you're shaking through rate at the same time. That's why it's so painful. But to answer that, Nick, you've got to go state by state. Each state's posture is there. For MA, we're talking about, you know, is 28 the inflection year now, right? Because the 27 year is being cast in front of us. And even with some modification, it doesn't look positive. I think the over the 28 will be better than 27. I think the over the 28 will begin the refurbishment of the base. But I think the players are going to carry a lot of blood through 27 that they're going to have to recapture. So now you're going to have still a lot of market variability in 28, depending on where players are with their 27 numbers. Because the amount of economics they're going to capture on their service side of the business is going to be less. The service side of the business is going to be attacked. And they're going to have compression on the health plan side of the business. So you have to look at both of those, not just one. On the health plan side of the business, I think the trough is there for 28. The question is going to be how much economics does each player have in their services, whether it's VBC, risk adjuster, et cetera, et cetera. That I'll leave to you. Hope that's at least helpful. David, thank you so much for the comprehensive answer. Can I just squeeze in a quick last one, if that's OK? I remember the third quarter, we were all a little disappointed with a PBS segment earnings reset for 26. But you expressed confidence in returning to growth algo for 27. And I thought the implication was both for the PBS business, but also the 10 to 14 percent broader enterprise algo. Does that still remain the case at this point in time? My answer in the third quarter was the enterprise algorithm, yes. So no change there? Correct. Awesome. Thank you so much again for the generosity of your time. You bet. It's always good to see you all. Thank you. Thank you.</w:t>
      </w:r>
    </w:p>
    <w:p w14:paraId="160A3CF4" w14:textId="77777777" w:rsidR="008903DE" w:rsidRDefault="008903DE"/>
    <w:sectPr w:rsidR="008903D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DE"/>
    <w:rsid w:val="008903DE"/>
    <w:rsid w:val="00A36C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A9B7"/>
  <w15:chartTrackingRefBased/>
  <w15:docId w15:val="{7D44CC8D-D611-44DE-B1AC-82FE1F9A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8903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8903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903DE"/>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8903DE"/>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903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903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903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903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903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3DE"/>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8903DE"/>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903DE"/>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903DE"/>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903DE"/>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903DE"/>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903DE"/>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903DE"/>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903DE"/>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903D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3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3D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903DE"/>
    <w:pPr>
      <w:spacing w:before="160"/>
      <w:jc w:val="center"/>
    </w:pPr>
    <w:rPr>
      <w:i/>
      <w:iCs/>
      <w:color w:val="404040" w:themeColor="text1" w:themeTint="BF"/>
    </w:rPr>
  </w:style>
  <w:style w:type="character" w:customStyle="1" w:styleId="QuoteChar">
    <w:name w:val="Quote Char"/>
    <w:basedOn w:val="DefaultParagraphFont"/>
    <w:link w:val="Quote"/>
    <w:uiPriority w:val="29"/>
    <w:rsid w:val="008903DE"/>
    <w:rPr>
      <w:i/>
      <w:iCs/>
      <w:color w:val="404040" w:themeColor="text1" w:themeTint="BF"/>
    </w:rPr>
  </w:style>
  <w:style w:type="paragraph" w:styleId="ListParagraph">
    <w:name w:val="List Paragraph"/>
    <w:basedOn w:val="Normal"/>
    <w:uiPriority w:val="34"/>
    <w:qFormat/>
    <w:rsid w:val="008903DE"/>
    <w:pPr>
      <w:ind w:left="720"/>
      <w:contextualSpacing/>
    </w:pPr>
  </w:style>
  <w:style w:type="character" w:styleId="IntenseEmphasis">
    <w:name w:val="Intense Emphasis"/>
    <w:basedOn w:val="DefaultParagraphFont"/>
    <w:uiPriority w:val="21"/>
    <w:qFormat/>
    <w:rsid w:val="008903DE"/>
    <w:rPr>
      <w:i/>
      <w:iCs/>
      <w:color w:val="0F4761" w:themeColor="accent1" w:themeShade="BF"/>
    </w:rPr>
  </w:style>
  <w:style w:type="paragraph" w:styleId="IntenseQuote">
    <w:name w:val="Intense Quote"/>
    <w:basedOn w:val="Normal"/>
    <w:next w:val="Normal"/>
    <w:link w:val="IntenseQuoteChar"/>
    <w:uiPriority w:val="30"/>
    <w:qFormat/>
    <w:rsid w:val="00890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3DE"/>
    <w:rPr>
      <w:i/>
      <w:iCs/>
      <w:color w:val="0F4761" w:themeColor="accent1" w:themeShade="BF"/>
    </w:rPr>
  </w:style>
  <w:style w:type="character" w:styleId="IntenseReference">
    <w:name w:val="Intense Reference"/>
    <w:basedOn w:val="DefaultParagraphFont"/>
    <w:uiPriority w:val="32"/>
    <w:qFormat/>
    <w:rsid w:val="00890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3737</Words>
  <Characters>17116</Characters>
  <Application>Microsoft Office Word</Application>
  <DocSecurity>0</DocSecurity>
  <Lines>259</Lines>
  <Paragraphs>45</Paragraphs>
  <ScaleCrop>false</ScaleCrop>
  <Company/>
  <LinksUpToDate>false</LinksUpToDate>
  <CharactersWithSpaces>20808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DONGJUN LEE</dc:creator>
  <cp:keywords/>
  <dc:description/>
  <cp:lastModifiedBy>DONGJUN LEE</cp:lastModifiedBy>
  <cp:revision>1</cp:revision>
  <dcterms:created xsi:type="dcterms:W3CDTF">2026-02-07T19:42:00Z</dcterms:created>
  <dcterms:modified xsi:type="dcterms:W3CDTF">2026-02-07T19:42:00Z</dcterms:modified>
</cp:coreProperties>
</file>