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6" w:color="B08D57"/>
        </w:pBdr>
      </w:pPr>
      <w:r>
        <w:t>Relatório de Resultados – 3º trimestre de 2026</w:t>
      </w:r>
    </w:p>
    <w:p>
      <w:r>
        <w:rPr>
          <w:i/>
          <w:color w:val="6B7280"/>
        </w:rPr>
        <w:t>Central de atendimento · indicadores de clientes, faturamento e cancelamentos</w:t>
      </w:r>
    </w:p>
    <w:p>
      <w:pPr>
        <w:spacing w:after="0"/>
      </w:pPr>
      <w:r>
        <w:rPr>
          <w:b/>
          <w:color w:val="1F2A44"/>
        </w:rPr>
        <w:t xml:space="preserve">Tipo: </w:t>
      </w:r>
      <w:r>
        <w:rPr/>
        <w:t>Relatório de resultados / indicadores</w:t>
      </w:r>
    </w:p>
    <w:p>
      <w:pPr>
        <w:spacing w:after="0"/>
      </w:pPr>
      <w:r>
        <w:rPr>
          <w:b/>
          <w:color w:val="1F2A44"/>
        </w:rPr>
        <w:t xml:space="preserve">Período: </w:t>
      </w:r>
      <w:r>
        <w:rPr/>
        <w:t>Julho a setembro de 2026</w:t>
      </w:r>
    </w:p>
    <w:p>
      <w:pPr>
        <w:spacing w:after="0"/>
      </w:pPr>
      <w:r>
        <w:rPr>
          <w:b/>
          <w:color w:val="1F2A44"/>
        </w:rPr>
        <w:t xml:space="preserve">Destinatário: </w:t>
      </w:r>
      <w:r>
        <w:rPr/>
        <w:t>Diretoria</w:t>
      </w:r>
    </w:p>
    <w:p>
      <w:pPr>
        <w:spacing w:after="0"/>
      </w:pPr>
      <w:r>
        <w:rPr>
          <w:b/>
          <w:color w:val="1F2A44"/>
        </w:rPr>
        <w:t xml:space="preserve">Elaborado por: </w:t>
      </w:r>
      <w:r>
        <w:rPr/>
        <w:t>Carlos Mendes</w:t>
      </w:r>
    </w:p>
    <w:p>
      <w:pPr>
        <w:spacing w:after="0"/>
      </w:pPr>
      <w:r>
        <w:rPr>
          <w:b/>
          <w:color w:val="1F2A44"/>
        </w:rPr>
        <w:t xml:space="preserve">Data: </w:t>
      </w:r>
      <w:r>
        <w:rPr/>
        <w:t>15 de outubro de 2026</w:t>
      </w:r>
    </w:p>
    <w:p/>
    <w:p>
      <w:pPr>
        <w:pStyle w:val="Heading2"/>
      </w:pPr>
      <w:r>
        <w:t>Resumo executivo</w:t>
      </w:r>
    </w:p>
    <w:p>
      <w:pPr>
        <w:jc w:val="both"/>
      </w:pPr>
      <w:r>
        <w:rPr/>
        <w:t xml:space="preserve">A central encerrou o trimestre com </w:t>
      </w:r>
      <w:r>
        <w:rPr>
          <w:b/>
        </w:rPr>
        <w:t>455 clientes ativos</w:t>
      </w:r>
      <w:r>
        <w:rPr/>
        <w:t xml:space="preserve">, superando a meta de 450 (101,1%). O faturamento mensal cresceu </w:t>
      </w:r>
      <w:r>
        <w:rPr>
          <w:b/>
        </w:rPr>
        <w:t>11,7%</w:t>
      </w:r>
      <w:r>
        <w:rPr/>
        <w:t xml:space="preserve"> entre julho e setembro, os cancelamentos caíram </w:t>
      </w:r>
      <w:r>
        <w:rPr>
          <w:b/>
        </w:rPr>
        <w:t>28%</w:t>
      </w:r>
      <w:r>
        <w:rPr/>
        <w:t xml:space="preserve"> e o tempo médio de atendimento foi reduzido em </w:t>
      </w:r>
      <w:r>
        <w:rPr>
          <w:b/>
        </w:rPr>
        <w:t>22,5%</w:t>
      </w:r>
      <w:r>
        <w:rPr/>
        <w:t>. Os resultados foram obtidos mesmo com equipe reduzida em setembro e com duas paradas do sistema de discagem em julho.</w:t>
      </w:r>
    </w:p>
    <w:p>
      <w:pPr>
        <w:pStyle w:val="Heading2"/>
      </w:pPr>
      <w:r>
        <w:t>Objetivo</w:t>
      </w:r>
    </w:p>
    <w:p>
      <w:pPr>
        <w:jc w:val="both"/>
      </w:pPr>
      <w:r>
        <w:rPr/>
        <w:t>Apresentar à Diretoria o desempenho da central de atendimento no 3º trimestre de 2026 e propor ações para o 4º trimestre.</w:t>
      </w:r>
    </w:p>
    <w:p>
      <w:pPr>
        <w:pStyle w:val="Heading2"/>
      </w:pPr>
      <w:r>
        <w:t>Contexto e metodologia</w:t>
      </w:r>
    </w:p>
    <w:p>
      <w:pPr>
        <w:jc w:val="both"/>
      </w:pPr>
      <w:r>
        <w:rPr/>
        <w:t>Foram consolidados os números mensais de clientes ativos, faturamento e cancelamentos, além do tempo médio de atendimento (TMA) no início e no fim do período. As variações foram calculadas mês a mês e entre julho e setembro. Também foram considerados três fatos do trimestre: a falha do sistema de discagem por dois dias em julho, a implantação do novo script de retenção em agosto e as férias de dois operadores em setembro.</w:t>
      </w:r>
    </w:p>
    <w:p>
      <w:pPr>
        <w:pStyle w:val="Heading2"/>
      </w:pPr>
      <w:r>
        <w:t>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2"/>
        <w:gridCol w:w="1225"/>
        <w:gridCol w:w="1536"/>
        <w:gridCol w:w="1536"/>
        <w:gridCol w:w="2162"/>
      </w:tblGrid>
      <w:tr>
        <w:trPr>
          <w:tblHeader w:val="true"/>
        </w:trPr>
        <w:tc>
          <w:tcPr>
            <w:tcW w:type="dxa" w:w="2612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225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Julho</w:t>
            </w:r>
          </w:p>
        </w:tc>
        <w:tc>
          <w:tcPr>
            <w:tcW w:type="dxa" w:w="1536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Agosto</w:t>
            </w:r>
          </w:p>
        </w:tc>
        <w:tc>
          <w:tcPr>
            <w:tcW w:type="dxa" w:w="1536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Setembro</w:t>
            </w:r>
          </w:p>
        </w:tc>
        <w:tc>
          <w:tcPr>
            <w:tcW w:type="dxa" w:w="2162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Variação jul→set</w:t>
            </w:r>
          </w:p>
        </w:tc>
      </w:tr>
      <w:tr>
        <w:tc>
          <w:tcPr>
            <w:tcW w:type="dxa" w:w="2612"/>
          </w:tcPr>
          <w:p>
            <w:r/>
            <w:r>
              <w:rPr>
                <w:sz w:val="20"/>
              </w:rPr>
              <w:t>Clientes ativos</w:t>
            </w:r>
          </w:p>
        </w:tc>
        <w:tc>
          <w:tcPr>
            <w:tcW w:type="dxa" w:w="1225"/>
          </w:tcPr>
          <w:p>
            <w:r/>
            <w:r>
              <w:rPr>
                <w:sz w:val="20"/>
              </w:rPr>
              <w:t>412</w:t>
            </w:r>
          </w:p>
        </w:tc>
        <w:tc>
          <w:tcPr>
            <w:tcW w:type="dxa" w:w="1536"/>
          </w:tcPr>
          <w:p>
            <w:r/>
            <w:r>
              <w:rPr>
                <w:sz w:val="20"/>
              </w:rPr>
              <w:t>430 (+4,4%)</w:t>
            </w:r>
          </w:p>
        </w:tc>
        <w:tc>
          <w:tcPr>
            <w:tcW w:type="dxa" w:w="1536"/>
          </w:tcPr>
          <w:p>
            <w:r/>
            <w:r>
              <w:rPr>
                <w:sz w:val="20"/>
              </w:rPr>
              <w:t>455 (+5,8%)</w:t>
            </w:r>
          </w:p>
        </w:tc>
        <w:tc>
          <w:tcPr>
            <w:tcW w:type="dxa" w:w="2162"/>
          </w:tcPr>
          <w:p>
            <w:r/>
            <w:r>
              <w:rPr>
                <w:sz w:val="20"/>
              </w:rPr>
              <w:t>+43 (+10,4%)</w:t>
            </w:r>
          </w:p>
        </w:tc>
      </w:tr>
      <w:tr>
        <w:tc>
          <w:tcPr>
            <w:tcW w:type="dxa" w:w="2612"/>
            <w:shd w:val="clear" w:color="auto" w:fill="F3F4F6"/>
          </w:tcPr>
          <w:p>
            <w:r/>
            <w:r>
              <w:rPr>
                <w:sz w:val="20"/>
              </w:rPr>
              <w:t>Faturamento</w:t>
            </w:r>
          </w:p>
        </w:tc>
        <w:tc>
          <w:tcPr>
            <w:tcW w:type="dxa" w:w="1225"/>
            <w:shd w:val="clear" w:color="auto" w:fill="F3F4F6"/>
          </w:tcPr>
          <w:p>
            <w:r/>
            <w:r>
              <w:rPr>
                <w:sz w:val="20"/>
              </w:rPr>
              <w:t>R$ 18.300</w:t>
            </w:r>
          </w:p>
        </w:tc>
        <w:tc>
          <w:tcPr>
            <w:tcW w:type="dxa" w:w="1536"/>
            <w:shd w:val="clear" w:color="auto" w:fill="F3F4F6"/>
          </w:tcPr>
          <w:p>
            <w:r/>
            <w:r>
              <w:rPr>
                <w:sz w:val="20"/>
              </w:rPr>
              <w:t>R$ 19.100 (+4,4%)</w:t>
            </w:r>
          </w:p>
        </w:tc>
        <w:tc>
          <w:tcPr>
            <w:tcW w:type="dxa" w:w="1536"/>
            <w:shd w:val="clear" w:color="auto" w:fill="F3F4F6"/>
          </w:tcPr>
          <w:p>
            <w:r/>
            <w:r>
              <w:rPr>
                <w:sz w:val="20"/>
              </w:rPr>
              <w:t>R$ 20.450 (+7,1%)</w:t>
            </w:r>
          </w:p>
        </w:tc>
        <w:tc>
          <w:tcPr>
            <w:tcW w:type="dxa" w:w="2162"/>
            <w:shd w:val="clear" w:color="auto" w:fill="F3F4F6"/>
          </w:tcPr>
          <w:p>
            <w:r/>
            <w:r>
              <w:rPr>
                <w:sz w:val="20"/>
              </w:rPr>
              <w:t>+R$ 2.150 (+11,7%)</w:t>
            </w:r>
          </w:p>
        </w:tc>
      </w:tr>
      <w:tr>
        <w:tc>
          <w:tcPr>
            <w:tcW w:type="dxa" w:w="2612"/>
          </w:tcPr>
          <w:p>
            <w:r/>
            <w:r>
              <w:rPr>
                <w:sz w:val="20"/>
              </w:rPr>
              <w:t>Cancelamentos</w:t>
            </w:r>
          </w:p>
        </w:tc>
        <w:tc>
          <w:tcPr>
            <w:tcW w:type="dxa" w:w="1225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536"/>
          </w:tcPr>
          <w:p>
            <w:r/>
            <w:r>
              <w:rPr>
                <w:sz w:val="20"/>
              </w:rPr>
              <w:t>22 (−12,0%)</w:t>
            </w:r>
          </w:p>
        </w:tc>
        <w:tc>
          <w:tcPr>
            <w:tcW w:type="dxa" w:w="1536"/>
          </w:tcPr>
          <w:p>
            <w:r/>
            <w:r>
              <w:rPr>
                <w:sz w:val="20"/>
              </w:rPr>
              <w:t>18 (−18,2%)</w:t>
            </w:r>
          </w:p>
        </w:tc>
        <w:tc>
          <w:tcPr>
            <w:tcW w:type="dxa" w:w="2162"/>
          </w:tcPr>
          <w:p>
            <w:r/>
            <w:r>
              <w:rPr>
                <w:sz w:val="20"/>
              </w:rPr>
              <w:t>−7 (−28,0%)</w:t>
            </w:r>
          </w:p>
        </w:tc>
      </w:tr>
      <w:tr>
        <w:tc>
          <w:tcPr>
            <w:tcW w:type="dxa" w:w="2612"/>
            <w:shd w:val="clear" w:color="auto" w:fill="F3F4F6"/>
          </w:tcPr>
          <w:p>
            <w:r/>
            <w:r>
              <w:rPr>
                <w:sz w:val="20"/>
              </w:rPr>
              <w:t>Cancelamentos / clientes ativos</w:t>
            </w:r>
          </w:p>
        </w:tc>
        <w:tc>
          <w:tcPr>
            <w:tcW w:type="dxa" w:w="1225"/>
            <w:shd w:val="clear" w:color="auto" w:fill="F3F4F6"/>
          </w:tcPr>
          <w:p>
            <w:r/>
            <w:r>
              <w:rPr>
                <w:sz w:val="20"/>
              </w:rPr>
              <w:t>6,1%</w:t>
            </w:r>
          </w:p>
        </w:tc>
        <w:tc>
          <w:tcPr>
            <w:tcW w:type="dxa" w:w="1536"/>
            <w:shd w:val="clear" w:color="auto" w:fill="F3F4F6"/>
          </w:tcPr>
          <w:p>
            <w:r/>
            <w:r>
              <w:rPr>
                <w:sz w:val="20"/>
              </w:rPr>
              <w:t>5,1%</w:t>
            </w:r>
          </w:p>
        </w:tc>
        <w:tc>
          <w:tcPr>
            <w:tcW w:type="dxa" w:w="1536"/>
            <w:shd w:val="clear" w:color="auto" w:fill="F3F4F6"/>
          </w:tcPr>
          <w:p>
            <w:r/>
            <w:r>
              <w:rPr>
                <w:sz w:val="20"/>
              </w:rPr>
              <w:t>4,0%</w:t>
            </w:r>
          </w:p>
        </w:tc>
        <w:tc>
          <w:tcPr>
            <w:tcW w:type="dxa" w:w="2162"/>
            <w:shd w:val="clear" w:color="auto" w:fill="F3F4F6"/>
          </w:tcPr>
          <w:p>
            <w:r/>
            <w:r>
              <w:rPr>
                <w:sz w:val="20"/>
              </w:rPr>
              <w:t>−2,1 p.p.</w:t>
            </w:r>
          </w:p>
        </w:tc>
      </w:tr>
      <w:tr>
        <w:tc>
          <w:tcPr>
            <w:tcW w:type="dxa" w:w="2612"/>
          </w:tcPr>
          <w:p>
            <w:r/>
            <w:r>
              <w:rPr>
                <w:sz w:val="20"/>
              </w:rPr>
              <w:t>Faturamento por cliente ativo</w:t>
            </w:r>
          </w:p>
        </w:tc>
        <w:tc>
          <w:tcPr>
            <w:tcW w:type="dxa" w:w="1225"/>
          </w:tcPr>
          <w:p>
            <w:r/>
            <w:r>
              <w:rPr>
                <w:sz w:val="20"/>
              </w:rPr>
              <w:t>R$ 44,42</w:t>
            </w:r>
          </w:p>
        </w:tc>
        <w:tc>
          <w:tcPr>
            <w:tcW w:type="dxa" w:w="1536"/>
          </w:tcPr>
          <w:p>
            <w:r/>
            <w:r>
              <w:rPr>
                <w:sz w:val="20"/>
              </w:rPr>
              <w:t>R$ 44,42</w:t>
            </w:r>
          </w:p>
        </w:tc>
        <w:tc>
          <w:tcPr>
            <w:tcW w:type="dxa" w:w="1536"/>
          </w:tcPr>
          <w:p>
            <w:r/>
            <w:r>
              <w:rPr>
                <w:sz w:val="20"/>
              </w:rPr>
              <w:t>R$ 44,95</w:t>
            </w:r>
          </w:p>
        </w:tc>
        <w:tc>
          <w:tcPr>
            <w:tcW w:type="dxa" w:w="2162"/>
          </w:tcPr>
          <w:p>
            <w:r/>
            <w:r>
              <w:rPr>
                <w:sz w:val="20"/>
              </w:rPr>
              <w:t>+R$ 0,53 (+1,2%)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7"/>
        <w:gridCol w:w="2294"/>
        <w:gridCol w:w="1981"/>
        <w:gridCol w:w="1929"/>
      </w:tblGrid>
      <w:tr>
        <w:trPr>
          <w:tblHeader w:val="true"/>
        </w:trPr>
        <w:tc>
          <w:tcPr>
            <w:tcW w:type="dxa" w:w="2867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94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Início do trimestre</w:t>
            </w:r>
          </w:p>
        </w:tc>
        <w:tc>
          <w:tcPr>
            <w:tcW w:type="dxa" w:w="1981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Fim do trimestre</w:t>
            </w:r>
          </w:p>
        </w:tc>
        <w:tc>
          <w:tcPr>
            <w:tcW w:type="dxa" w:w="1929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Variação</w:t>
            </w:r>
          </w:p>
        </w:tc>
      </w:tr>
      <w:tr>
        <w:tc>
          <w:tcPr>
            <w:tcW w:type="dxa" w:w="2867"/>
          </w:tcPr>
          <w:p>
            <w:r/>
            <w:r>
              <w:rPr>
                <w:sz w:val="20"/>
              </w:rPr>
              <w:t>Tempo médio de atendimento</w:t>
            </w:r>
          </w:p>
        </w:tc>
        <w:tc>
          <w:tcPr>
            <w:tcW w:type="dxa" w:w="2294"/>
          </w:tcPr>
          <w:p>
            <w:r/>
            <w:r>
              <w:rPr>
                <w:sz w:val="20"/>
              </w:rPr>
              <w:t>6min40s</w:t>
            </w:r>
          </w:p>
        </w:tc>
        <w:tc>
          <w:tcPr>
            <w:tcW w:type="dxa" w:w="1981"/>
          </w:tcPr>
          <w:p>
            <w:r/>
            <w:r>
              <w:rPr>
                <w:sz w:val="20"/>
              </w:rPr>
              <w:t>5min10s</w:t>
            </w:r>
          </w:p>
        </w:tc>
        <w:tc>
          <w:tcPr>
            <w:tcW w:type="dxa" w:w="1929"/>
          </w:tcPr>
          <w:p>
            <w:r/>
            <w:r>
              <w:rPr>
                <w:sz w:val="20"/>
              </w:rPr>
              <w:t>−1min30s (−22,5%)</w:t>
            </w:r>
          </w:p>
        </w:tc>
      </w:tr>
      <w:tr>
        <w:tc>
          <w:tcPr>
            <w:tcW w:type="dxa" w:w="2867"/>
            <w:shd w:val="clear" w:color="auto" w:fill="F3F4F6"/>
          </w:tcPr>
          <w:p>
            <w:r/>
            <w:r>
              <w:rPr>
                <w:sz w:val="20"/>
              </w:rPr>
              <w:t>Meta de clientes ativos</w:t>
            </w:r>
          </w:p>
        </w:tc>
        <w:tc>
          <w:tcPr>
            <w:tcW w:type="dxa" w:w="2294"/>
            <w:shd w:val="clear" w:color="auto" w:fill="F3F4F6"/>
          </w:tcPr>
          <w:p>
            <w:r/>
            <w:r>
              <w:rPr>
                <w:sz w:val="20"/>
              </w:rPr>
              <w:t>450</w:t>
            </w:r>
          </w:p>
        </w:tc>
        <w:tc>
          <w:tcPr>
            <w:tcW w:type="dxa" w:w="1981"/>
            <w:shd w:val="clear" w:color="auto" w:fill="F3F4F6"/>
          </w:tcPr>
          <w:p>
            <w:r/>
            <w:r>
              <w:rPr>
                <w:sz w:val="20"/>
              </w:rPr>
              <w:t>455 realizados</w:t>
            </w:r>
          </w:p>
        </w:tc>
        <w:tc>
          <w:tcPr>
            <w:tcW w:type="dxa" w:w="1929"/>
            <w:shd w:val="clear" w:color="auto" w:fill="F3F4F6"/>
          </w:tcPr>
          <w:p>
            <w:r/>
            <w:r>
              <w:rPr>
                <w:sz w:val="20"/>
              </w:rPr>
              <w:t>101,1% da meta</w:t>
            </w:r>
          </w:p>
        </w:tc>
      </w:tr>
    </w:tbl>
    <w:p/>
    <w:p>
      <w:pPr>
        <w:jc w:val="both"/>
      </w:pPr>
      <w:r>
        <w:rPr/>
        <w:t xml:space="preserve">No acumulado do trimestre, o faturamento somou </w:t>
      </w:r>
      <w:r>
        <w:rPr>
          <w:b/>
        </w:rPr>
        <w:t>R$ 57.850</w:t>
      </w:r>
      <w:r>
        <w:rPr/>
        <w:t xml:space="preserve"> e foram registrados </w:t>
      </w:r>
      <w:r>
        <w:rPr>
          <w:b/>
        </w:rPr>
        <w:t>65 cancelamentos</w:t>
      </w:r>
      <w:r>
        <w:rPr/>
        <w:t>.</w:t>
      </w:r>
    </w:p>
    <w:p>
      <w:pPr>
        <w:pBdr>
          <w:left w:val="single" w:sz="24" w:space="6" w:color="B08D57"/>
        </w:pBdr>
        <w:shd w:val="clear" w:color="auto" w:fill="F5EFE4"/>
        <w:ind w:left="170"/>
      </w:pPr>
      <w:r>
        <w:rPr>
          <w:b/>
        </w:rPr>
        <w:t>Conquista do trimestre:</w:t>
      </w:r>
      <w:r>
        <w:rPr/>
        <w:t xml:space="preserve"> a meta de 450 clientes ativos foi superada em setembro, mesmo com dois operadores de férias, e a taxa de cancelamento caiu de 6,1% para 4,0% dos clientes ativos.</w:t>
      </w:r>
    </w:p>
    <w:p>
      <w:pPr>
        <w:pStyle w:val="Heading2"/>
      </w:pPr>
      <w:r>
        <w:t>Análise</w:t>
      </w:r>
    </w:p>
    <w:p>
      <w:pPr>
        <w:jc w:val="both"/>
      </w:pPr>
      <w:r>
        <w:rPr>
          <w:b/>
        </w:rPr>
        <w:t>Fatos.</w:t>
      </w:r>
      <w:r>
        <w:rPr/>
        <w:t xml:space="preserve"> O crescimento da base foi contínuo e acelerou em setembro (+25 clientes, ante +18 em agosto). O faturamento acompanhou a base: o faturamento por cliente ficou praticamente estável (R$ 44,42 a R$ 44,95), o que indica que a receita cresceu pelo volume de clientes, e não por aumento de valor médio. Os cancelamentos caíram nos dois meses seguintes à entrada do novo script de retenção.</w:t>
      </w:r>
    </w:p>
    <w:p>
      <w:pPr>
        <w:jc w:val="both"/>
      </w:pPr>
      <w:r>
        <w:rPr>
          <w:b/>
        </w:rPr>
        <w:t>Hipóteses a confirmar.</w:t>
      </w:r>
      <w:r>
        <w:rPr/>
        <w:t xml:space="preserve"> A queda dos cancelamentos coincide com o novo script de retenção, mas os dados não permitem afirmar a relação de causa: seria necessário comparar os resultados das ligações com e sem o script. A redução do TMA pode ter contribuído para a capacidade de atendimento em setembro, com equipe reduzida. A falha do sistema de discagem em julho pode ter limitado os números daquele mês, mas o impacto não foi medido.</w:t>
      </w:r>
    </w:p>
    <w:p>
      <w:pPr>
        <w:pStyle w:val="Heading2"/>
      </w:pPr>
      <w:r>
        <w:t>Pontos de atenção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Dependência do sistema de discagem:</w:t>
      </w:r>
      <w:r>
        <w:rPr/>
        <w:t xml:space="preserve"> duas paradas em um único mês representam risco operacional direto para captação e retenção.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Equipe em período de férias:</w:t>
      </w:r>
      <w:r>
        <w:rPr/>
        <w:t xml:space="preserve"> setembro mostrou que a operação suporta ausências pontuais, mas não há dados sobre sobrecarga ou horas extras no período.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TMA x qualidade:</w:t>
      </w:r>
      <w:r>
        <w:rPr/>
        <w:t xml:space="preserve"> a redução do tempo de atendimento deve ser acompanhada de um indicador de qualidade para garantir que não houve perda na experiência do cliente.</w:t>
      </w:r>
    </w:p>
    <w:p>
      <w:pPr>
        <w:spacing w:after="0"/>
      </w:pPr>
    </w:p>
    <w:p>
      <w:pPr>
        <w:pStyle w:val="Heading2"/>
      </w:pPr>
      <w:r>
        <w:t>Recomendações e próximos passos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1.</w:t>
        <w:tab/>
      </w:r>
      <w:r>
        <w:rPr>
          <w:b/>
        </w:rPr>
        <w:t>Medir o efeito do script de retenção</w:t>
      </w:r>
      <w:r>
        <w:rPr/>
        <w:t xml:space="preserve"> – registrar, em cada ligação de retenção, se o script foi usado e o resultado. Responsável: supervisão da central. Prazo: a partir de novembro de 2026.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2.</w:t>
        <w:tab/>
      </w:r>
      <w:r>
        <w:rPr>
          <w:b/>
        </w:rPr>
        <w:t>Plano de contingência para o sistema de discagem</w:t>
      </w:r>
      <w:r>
        <w:rPr/>
        <w:t xml:space="preserve"> – levantar com o fornecedor as causas das paradas de julho e definir um procedimento alternativo. Responsável: [responsável pela área de TI/fornecedor]. Prazo: até 30/11/2026.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3.</w:t>
        <w:tab/>
      </w:r>
      <w:r>
        <w:rPr>
          <w:b/>
        </w:rPr>
        <w:t>Definir metas do 4º trimestre</w:t>
      </w:r>
      <w:r>
        <w:rPr/>
        <w:t xml:space="preserve"> – propor nova meta de clientes ativos e uma meta de taxa de cancelamento, com base no ritmo de crescimento observado. Responsável: Carlos Mendes, com aprovação da Diretoria. Prazo: até 31/10/2026.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4.</w:t>
        <w:tab/>
      </w:r>
      <w:r>
        <w:rPr>
          <w:b/>
        </w:rPr>
        <w:t>Planejar escala de férias de dezembro e janeiro</w:t>
      </w:r>
      <w:r>
        <w:rPr/>
        <w:t xml:space="preserve"> – evitar mais de duas ausências simultâneas. Responsável: supervisão da central. Prazo: até 15/11/2026.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5.</w:t>
        <w:tab/>
      </w:r>
      <w:r>
        <w:rPr>
          <w:b/>
        </w:rPr>
        <w:t>Incluir um indicador de qualidade</w:t>
      </w:r>
      <w:r>
        <w:rPr/>
        <w:t xml:space="preserve"> – por exemplo, pesquisa rápida de satisfação após o atendimento, para acompanhar junto com o TMA. Responsável: supervisão da central. Prazo: dezembro de 2026.</w:t>
      </w:r>
    </w:p>
    <w:p>
      <w:pPr>
        <w:spacing w:after="0"/>
      </w:pPr>
    </w:p>
    <w:p>
      <w:pPr>
        <w:pStyle w:val="Heading2"/>
      </w:pPr>
      <w:r>
        <w:t>Conclusão</w:t>
      </w:r>
    </w:p>
    <w:p>
      <w:pPr>
        <w:jc w:val="both"/>
      </w:pPr>
      <w:r>
        <w:rPr/>
        <w:t>O 3º trimestre foi positivo em todos os indicadores acompanhados: mais clientes, mais faturamento, menos cancelamentos e atendimento mais ágil. Para o 4º trimestre, a prioridade é consolidar esses ganhos, reduzindo o risco operacional do sistema de discagem e medindo com precisão o que de fato está gerando os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keepNext/>
              <w:spacing w:before="600"/>
              <w:jc w:val="center"/>
            </w:pPr>
            <w:r>
              <w:t>__________________________________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</w:rPr>
              <w:t>Carlos Mendes</w:t>
            </w:r>
          </w:p>
          <w:p>
            <w:pPr>
              <w:jc w:val="center"/>
            </w:pPr>
            <w:r>
              <w:rPr>
                <w:color w:val="6B7280"/>
              </w:rPr>
              <w:t>Elaborado por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4"/>
      <w:gridCol w:w="7937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37"/>
        </w:tcPr>
        <w:p>
          <w:pPr>
            <w:spacing w:after="0"/>
          </w:pPr>
          <w:r>
            <w:rPr>
              <w:b/>
              <w:color w:val="1F2A44"/>
              <w:sz w:val="24"/>
            </w:rPr>
            <w:t>Empresa Exemplo Ltda.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CNPJ: 00.000.000/0001-00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Rua das Flores, 100 – Centro · Montes Claros/MG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(38) 3000-0000 · contato@exemplo.com.br</w:t>
          </w:r>
        </w:p>
      </w:tc>
    </w:tr>
  </w:tbl>
  <w:p>
    <w:pPr>
      <w:pStyle w:val="Header"/>
      <w:pBdr>
        <w:bottom w:val="single" w:sz="8" w:space="6" w:color="B08D57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Resultados – 3º trimestre de 2026</dc:title>
  <dc:subject/>
  <dc:creator>Empresa Exemplo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