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Impresari Context Color Palette</w:t>
      </w:r>
    </w:p>
    <w:p>
      <w:pPr>
        <w:spacing w:after="240"/>
      </w:pPr>
      <w:r>
        <w:rPr>
          <w:rFonts w:ascii="Aptos" w:hAnsi="Aptos"/>
          <w:b/>
          <w:color w:val="59488A"/>
          <w:sz w:val="24"/>
        </w:rPr>
        <w:t>Extracted from the selected 16-bit repository-map concept</w:t>
      </w:r>
    </w:p>
    <w:p>
      <w:pPr>
        <w:spacing w:after="160"/>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concept-03-variant-c.png"/>
                    <pic:cNvPicPr/>
                  </pic:nvPicPr>
                  <pic:blipFill>
                    <a:blip r:embed="rId11"/>
                    <a:stretch>
                      <a:fillRect/>
                    </a:stretch>
                  </pic:blipFill>
                  <pic:spPr>
                    <a:xfrm>
                      <a:off x="0" y="0"/>
                      <a:ext cx="6309360" cy="4206240"/>
                    </a:xfrm>
                    <a:prstGeom prst="rect"/>
                  </pic:spPr>
                </pic:pic>
              </a:graphicData>
            </a:graphic>
          </wp:inline>
        </w:drawing>
      </w:r>
    </w:p>
    <w:p>
      <w:r>
        <w:rPr>
          <w:rFonts w:ascii="Aptos" w:hAnsi="Aptos"/>
          <w:b/>
          <w:color w:val="17212B"/>
          <w:sz w:val="20"/>
        </w:rPr>
        <w:t xml:space="preserve">Palette note. </w:t>
      </w:r>
      <w:r>
        <w:rPr>
          <w:rFonts w:ascii="Aptos" w:hAnsi="Aptos"/>
          <w:b w:val="0"/>
          <w:color w:val="4F5D66"/>
          <w:sz w:val="20"/>
        </w:rPr>
        <w:t>These are representative design colors extracted through color clustering. The source artwork contains many anti-aliased and shaded pixel variations. Near-black and dark navy background colors are intentionally excluded.</w:t>
      </w:r>
    </w:p>
    <w:p>
      <w:r>
        <w:br w:type="page"/>
      </w:r>
    </w:p>
    <w:p>
      <w:pPr>
        <w:pStyle w:val="Heading1"/>
      </w:pPr>
      <w:r>
        <w:t>Recommended brand palette</w:t>
      </w:r>
    </w:p>
    <w:p>
      <w:pPr>
        <w:spacing w:after="160"/>
      </w:pPr>
      <w:r>
        <w:t>A compact six-color system for identity, documentation, interfaces, diagrams, and verification states.</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2484"/>
        <w:gridCol w:w="2484"/>
        <w:gridCol w:w="2484"/>
        <w:gridCol w:w="2484"/>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650"/>
            <w:shd w:fill="17212B"/>
            <w:tcMar>
              <w:top w:w="100" w:type="dxa"/>
              <w:start w:w="140" w:type="dxa"/>
              <w:bottom w:w="100" w:type="dxa"/>
              <w:end w:w="140" w:type="dxa"/>
            </w:tcMar>
          </w:tcPr>
          <w:p>
            <w:pPr>
              <w:jc w:val="center"/>
            </w:pPr>
            <w:r>
              <w:rPr>
                <w:rFonts w:ascii="Aptos" w:hAnsi="Aptos"/>
                <w:b/>
                <w:color w:val="FFFFFF"/>
                <w:sz w:val="19"/>
              </w:rPr>
              <w:t>Hex</w:t>
            </w:r>
          </w:p>
        </w:tc>
        <w:tc>
          <w:tcPr>
            <w:tcW w:type="dxa" w:w="2450"/>
            <w:shd w:fill="17212B"/>
            <w:tcMar>
              <w:top w:w="100" w:type="dxa"/>
              <w:start w:w="140" w:type="dxa"/>
              <w:bottom w:w="100" w:type="dxa"/>
              <w:end w:w="140" w:type="dxa"/>
            </w:tcMar>
          </w:tcPr>
          <w:p>
            <w:pPr>
              <w:jc w:val="left"/>
            </w:pPr>
            <w:r>
              <w:rPr>
                <w:rFonts w:ascii="Aptos" w:hAnsi="Aptos"/>
                <w:b/>
                <w:color w:val="FFFFFF"/>
                <w:sz w:val="19"/>
              </w:rPr>
              <w:t>Color</w:t>
            </w:r>
          </w:p>
        </w:tc>
        <w:tc>
          <w:tcPr>
            <w:tcW w:type="dxa" w:w="4260"/>
            <w:shd w:fill="17212B"/>
            <w:tcMar>
              <w:top w:w="100" w:type="dxa"/>
              <w:start w:w="140" w:type="dxa"/>
              <w:bottom w:w="100" w:type="dxa"/>
              <w:end w:w="140" w:type="dxa"/>
            </w:tcMar>
          </w:tcPr>
          <w:p>
            <w:pPr>
              <w:jc w:val="left"/>
            </w:pPr>
            <w:r>
              <w:rPr>
                <w:rFonts w:ascii="Aptos" w:hAnsi="Aptos"/>
                <w:b/>
                <w:color w:val="FFFFFF"/>
                <w:sz w:val="19"/>
              </w:rPr>
              <w:t>Recommended role</w:t>
            </w:r>
          </w:p>
        </w:tc>
      </w:tr>
      <w:tr>
        <w:tc>
          <w:tcPr>
            <w:tcW w:type="dxa" w:w="1000"/>
            <w:tcMar>
              <w:top w:w="100" w:type="dxa"/>
              <w:start w:w="140" w:type="dxa"/>
              <w:bottom w:w="100" w:type="dxa"/>
              <w:end w:w="140" w:type="dxa"/>
            </w:tcMar>
            <w:vAlign w:val="center"/>
            <w:shd w:fill="F6B73A"/>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#F6B73A</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Primary gold</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Identity, titles, key emphasis</w:t>
            </w:r>
          </w:p>
        </w:tc>
      </w:tr>
      <w:tr>
        <w:tc>
          <w:tcPr>
            <w:tcW w:type="dxa" w:w="1000"/>
            <w:tcMar>
              <w:top w:w="100" w:type="dxa"/>
              <w:start w:w="140" w:type="dxa"/>
              <w:bottom w:w="100" w:type="dxa"/>
              <w:end w:w="140" w:type="dxa"/>
            </w:tcMar>
            <w:vAlign w:val="center"/>
            <w:shd w:fill="DCEC52"/>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#DCEC52</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Verification lime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Success, validation, trusted evidence</w:t>
            </w:r>
          </w:p>
        </w:tc>
      </w:tr>
      <w:tr>
        <w:tc>
          <w:tcPr>
            <w:tcW w:type="dxa" w:w="1000"/>
            <w:tcMar>
              <w:top w:w="100" w:type="dxa"/>
              <w:start w:w="140" w:type="dxa"/>
              <w:bottom w:w="100" w:type="dxa"/>
              <w:end w:w="140" w:type="dxa"/>
            </w:tcMar>
            <w:vAlign w:val="center"/>
            <w:shd w:fill="21CED0"/>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#21CED0</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Luminous cyan-teal</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Data flow, provenance, active connections</w:t>
            </w:r>
          </w:p>
        </w:tc>
      </w:tr>
      <w:tr>
        <w:tc>
          <w:tcPr>
            <w:tcW w:type="dxa" w:w="1000"/>
            <w:tcMar>
              <w:top w:w="100" w:type="dxa"/>
              <w:start w:w="140" w:type="dxa"/>
              <w:bottom w:w="100" w:type="dxa"/>
              <w:end w:w="140" w:type="dxa"/>
            </w:tcMar>
            <w:vAlign w:val="center"/>
            <w:shd w:fill="266992"/>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#266992</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Medium blue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Interface structure and secondary actions</w:t>
            </w:r>
          </w:p>
        </w:tc>
      </w:tr>
      <w:tr>
        <w:tc>
          <w:tcPr>
            <w:tcW w:type="dxa" w:w="1000"/>
            <w:tcMar>
              <w:top w:w="100" w:type="dxa"/>
              <w:start w:w="140" w:type="dxa"/>
              <w:bottom w:w="100" w:type="dxa"/>
              <w:end w:w="140" w:type="dxa"/>
            </w:tcMar>
            <w:vAlign w:val="center"/>
            <w:shd w:fill="59488A"/>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#59488A</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Primary violet</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Repository depth and supporting accents</w:t>
            </w:r>
          </w:p>
        </w:tc>
      </w:tr>
      <w:tr>
        <w:tc>
          <w:tcPr>
            <w:tcW w:type="dxa" w:w="1000"/>
            <w:tcMar>
              <w:top w:w="100" w:type="dxa"/>
              <w:start w:w="140" w:type="dxa"/>
              <w:bottom w:w="100" w:type="dxa"/>
              <w:end w:w="140" w:type="dxa"/>
            </w:tcMar>
            <w:vAlign w:val="center"/>
            <w:shd w:fill="D9E3D9"/>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#D9E3D9</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Pale silver</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Documents, neutral surfaces, light text</w:t>
            </w:r>
          </w:p>
        </w:tc>
      </w:tr>
    </w:tbl>
    <w:p>
      <w:pPr>
        <w:spacing w:after="20"/>
      </w:pPr>
    </w:p>
    <w:p>
      <w:pPr>
        <w:pStyle w:val="Heading2"/>
      </w:pPr>
      <w:r>
        <w:t>Dark-mode background options</w:t>
      </w:r>
    </w:p>
    <w:p>
      <w:pPr>
        <w:spacing w:after="160"/>
      </w:pPr>
      <w:r>
        <w:t>These sampled dark tones extend the brand system for dark interfaces. Use Midnight Canvas as the default foundation, then layer the remaining shades to create depth without departing from the source artwork.</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2484"/>
        <w:gridCol w:w="2484"/>
        <w:gridCol w:w="2484"/>
        <w:gridCol w:w="2484"/>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650"/>
            <w:shd w:fill="17212B"/>
            <w:tcMar>
              <w:top w:w="100" w:type="dxa"/>
              <w:start w:w="140" w:type="dxa"/>
              <w:bottom w:w="100" w:type="dxa"/>
              <w:end w:w="140" w:type="dxa"/>
            </w:tcMar>
          </w:tcPr>
          <w:p>
            <w:pPr>
              <w:jc w:val="center"/>
            </w:pPr>
            <w:r>
              <w:rPr>
                <w:rFonts w:ascii="Aptos" w:hAnsi="Aptos"/>
                <w:b/>
                <w:color w:val="FFFFFF"/>
                <w:sz w:val="19"/>
              </w:rPr>
              <w:t>Hex</w:t>
            </w:r>
          </w:p>
        </w:tc>
        <w:tc>
          <w:tcPr>
            <w:tcW w:type="dxa" w:w="2450"/>
            <w:shd w:fill="17212B"/>
            <w:tcMar>
              <w:top w:w="100" w:type="dxa"/>
              <w:start w:w="140" w:type="dxa"/>
              <w:bottom w:w="100" w:type="dxa"/>
              <w:end w:w="140" w:type="dxa"/>
            </w:tcMar>
          </w:tcPr>
          <w:p>
            <w:pPr>
              <w:jc w:val="left"/>
            </w:pPr>
            <w:r>
              <w:rPr>
                <w:rFonts w:ascii="Aptos" w:hAnsi="Aptos"/>
                <w:b/>
                <w:color w:val="FFFFFF"/>
                <w:sz w:val="19"/>
              </w:rPr>
              <w:t>Color</w:t>
            </w:r>
          </w:p>
        </w:tc>
        <w:tc>
          <w:tcPr>
            <w:tcW w:type="dxa" w:w="4260"/>
            <w:shd w:fill="17212B"/>
            <w:tcMar>
              <w:top w:w="100" w:type="dxa"/>
              <w:start w:w="140" w:type="dxa"/>
              <w:bottom w:w="100" w:type="dxa"/>
              <w:end w:w="140" w:type="dxa"/>
            </w:tcMar>
          </w:tcPr>
          <w:p>
            <w:pPr>
              <w:jc w:val="left"/>
            </w:pPr>
            <w:r>
              <w:rPr>
                <w:rFonts w:ascii="Aptos" w:hAnsi="Aptos"/>
                <w:b/>
                <w:color w:val="FFFFFF"/>
                <w:sz w:val="19"/>
              </w:rPr>
              <w:t>Recommended role</w:t>
            </w:r>
          </w:p>
        </w:tc>
      </w:tr>
      <w:tr>
        <w:tc>
          <w:tcPr>
            <w:tcW w:type="dxa" w:w="1000"/>
            <w:tcMar>
              <w:top w:w="100" w:type="dxa"/>
              <w:start w:w="140" w:type="dxa"/>
              <w:bottom w:w="100" w:type="dxa"/>
              <w:end w:w="140" w:type="dxa"/>
            </w:tcMar>
            <w:vAlign w:val="center"/>
            <w:shd w:fill="000711"/>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#000711</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Midnight canvas</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Primary application and page background</w:t>
            </w:r>
          </w:p>
        </w:tc>
      </w:tr>
      <w:tr>
        <w:tc>
          <w:tcPr>
            <w:tcW w:type="dxa" w:w="1000"/>
            <w:tcMar>
              <w:top w:w="100" w:type="dxa"/>
              <w:start w:w="140" w:type="dxa"/>
              <w:bottom w:w="100" w:type="dxa"/>
              <w:end w:w="140" w:type="dxa"/>
            </w:tcMar>
            <w:vAlign w:val="center"/>
            <w:shd w:fill="001024"/>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#001024</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Deep navy surface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Panels, cards, and navigation surfaces</w:t>
            </w:r>
          </w:p>
        </w:tc>
      </w:tr>
      <w:tr>
        <w:tc>
          <w:tcPr>
            <w:tcW w:type="dxa" w:w="1000"/>
            <w:tcMar>
              <w:top w:w="100" w:type="dxa"/>
              <w:start w:w="140" w:type="dxa"/>
              <w:bottom w:w="100" w:type="dxa"/>
              <w:end w:w="140" w:type="dxa"/>
            </w:tcMar>
            <w:vAlign w:val="center"/>
            <w:shd w:fill="001B35"/>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#001B35</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Raised navy surface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Elevated panels, modals, and selected areas</w:t>
            </w:r>
          </w:p>
        </w:tc>
      </w:tr>
      <w:tr>
        <w:tc>
          <w:tcPr>
            <w:tcW w:type="dxa" w:w="1000"/>
            <w:tcMar>
              <w:top w:w="100" w:type="dxa"/>
              <w:start w:w="140" w:type="dxa"/>
              <w:bottom w:w="100" w:type="dxa"/>
              <w:end w:w="140" w:type="dxa"/>
            </w:tcMar>
            <w:vAlign w:val="center"/>
            <w:shd w:fill="052948"/>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#052948</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Blue-black border</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Dividers, borders, and inactive controls</w:t>
            </w:r>
          </w:p>
        </w:tc>
      </w:tr>
      <w:tr>
        <w:tc>
          <w:tcPr>
            <w:tcW w:type="dxa" w:w="1000"/>
            <w:tcMar>
              <w:top w:w="100" w:type="dxa"/>
              <w:start w:w="140" w:type="dxa"/>
              <w:bottom w:w="100" w:type="dxa"/>
              <w:end w:w="140" w:type="dxa"/>
            </w:tcMar>
            <w:vAlign w:val="center"/>
            <w:shd w:fill="0B3050"/>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#0B3050</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Deep interface blue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Hover states and secondary surfaces</w:t>
            </w:r>
          </w:p>
        </w:tc>
      </w:tr>
      <w:tr>
        <w:tc>
          <w:tcPr>
            <w:tcW w:type="dxa" w:w="1000"/>
            <w:tcMar>
              <w:top w:w="100" w:type="dxa"/>
              <w:start w:w="140" w:type="dxa"/>
              <w:bottom w:w="100" w:type="dxa"/>
              <w:end w:w="140" w:type="dxa"/>
            </w:tcMar>
            <w:vAlign w:val="center"/>
            <w:shd w:fill="061B19"/>
          </w:tcPr>
          <w:p>
            <w:pPr>
              <w:spacing w:after="0"/>
              <w:jc w:val="center"/>
            </w:pPr>
          </w:p>
        </w:tc>
        <w:tc>
          <w:tcPr>
            <w:tcW w:type="dxa" w:w="1650"/>
            <w:tcMar>
              <w:top w:w="100" w:type="dxa"/>
              <w:start w:w="140" w:type="dxa"/>
              <w:bottom w:w="100" w:type="dxa"/>
              <w:end w:w="140" w:type="dxa"/>
            </w:tcMar>
            <w:vAlign w:val="center"/>
          </w:tcPr>
          <w:p>
            <w:pPr>
              <w:spacing w:after="0"/>
              <w:jc w:val="center"/>
            </w:pPr>
            <w:r>
              <w:rPr>
                <w:rFonts w:ascii="Aptos" w:hAnsi="Aptos"/>
                <w:b/>
                <w:color w:val="17212B"/>
                <w:sz w:val="19"/>
              </w:rPr>
              <w:t>#061B19</w:t>
            </w:r>
          </w:p>
        </w:tc>
        <w:tc>
          <w:tcPr>
            <w:tcW w:type="dxa" w:w="2450"/>
            <w:tcMar>
              <w:top w:w="100" w:type="dxa"/>
              <w:start w:w="140" w:type="dxa"/>
              <w:bottom w:w="100" w:type="dxa"/>
              <w:end w:w="140" w:type="dxa"/>
            </w:tcMar>
            <w:vAlign w:val="center"/>
          </w:tcPr>
          <w:p>
            <w:pPr>
              <w:spacing w:after="0"/>
              <w:jc w:val="left"/>
            </w:pPr>
            <w:r>
              <w:rPr>
                <w:rFonts w:ascii="Aptos" w:hAnsi="Aptos"/>
                <w:b w:val="0"/>
                <w:color w:val="17212B"/>
                <w:sz w:val="19"/>
              </w:rPr>
              <w:t>Deep teal surface</w:t>
            </w:r>
          </w:p>
        </w:tc>
        <w:tc>
          <w:tcPr>
            <w:tcW w:type="dxa" w:w="4260"/>
            <w:tcMar>
              <w:top w:w="100" w:type="dxa"/>
              <w:start w:w="140" w:type="dxa"/>
              <w:bottom w:w="100" w:type="dxa"/>
              <w:end w:w="140" w:type="dxa"/>
            </w:tcMar>
            <w:vAlign w:val="center"/>
          </w:tcPr>
          <w:p>
            <w:pPr>
              <w:spacing w:after="0"/>
              <w:jc w:val="left"/>
            </w:pPr>
            <w:r>
              <w:rPr>
                <w:rFonts w:ascii="Aptos" w:hAnsi="Aptos"/>
                <w:b w:val="0"/>
                <w:color w:val="17212B"/>
                <w:sz w:val="19"/>
              </w:rPr>
              <w:t>Security, evidence, and verification zones</w:t>
            </w:r>
          </w:p>
        </w:tc>
      </w:tr>
    </w:tbl>
    <w:p>
      <w:pPr>
        <w:spacing w:after="20"/>
      </w:pPr>
    </w:p>
    <w:p>
      <w:r>
        <w:br w:type="page"/>
      </w:r>
    </w:p>
    <w:p>
      <w:pPr>
        <w:pStyle w:val="Heading1"/>
      </w:pPr>
      <w:r>
        <w:t>Extended image palette</w:t>
      </w:r>
    </w:p>
    <w:p>
      <w:pPr>
        <w:spacing w:after="160"/>
      </w:pPr>
      <w:r>
        <w:t>Use the extended palette for illustrations, diagrams, data-flow states, documentation, and tonal depth. The six-color brand palette should remain the primary identity system.</w:t>
      </w:r>
    </w:p>
    <w:p>
      <w:pPr>
        <w:pStyle w:val="Heading2"/>
      </w:pPr>
      <w:r>
        <w:t>Gold and amber</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F6D35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#F6D358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Bright title highlight</w:t>
            </w:r>
          </w:p>
        </w:tc>
      </w:tr>
      <w:tr>
        <w:tc>
          <w:tcPr>
            <w:tcW w:type="dxa" w:w="1000"/>
            <w:tcMar>
              <w:top w:w="100" w:type="dxa"/>
              <w:start w:w="140" w:type="dxa"/>
              <w:bottom w:w="100" w:type="dxa"/>
              <w:end w:w="140" w:type="dxa"/>
            </w:tcMar>
            <w:vAlign w:val="center"/>
            <w:shd w:fill="F6B73A"/>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#F6B73A</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Primary gold</w:t>
            </w:r>
          </w:p>
        </w:tc>
      </w:tr>
      <w:tr>
        <w:tc>
          <w:tcPr>
            <w:tcW w:type="dxa" w:w="1000"/>
            <w:tcMar>
              <w:top w:w="100" w:type="dxa"/>
              <w:start w:w="140" w:type="dxa"/>
              <w:bottom w:w="100" w:type="dxa"/>
              <w:end w:w="140" w:type="dxa"/>
            </w:tcMar>
            <w:vAlign w:val="center"/>
            <w:shd w:fill="E8AA3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#E8AA38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Warm gold</w:t>
            </w:r>
          </w:p>
        </w:tc>
      </w:tr>
      <w:tr>
        <w:tc>
          <w:tcPr>
            <w:tcW w:type="dxa" w:w="1000"/>
            <w:tcMar>
              <w:top w:w="100" w:type="dxa"/>
              <w:start w:w="140" w:type="dxa"/>
              <w:bottom w:w="100" w:type="dxa"/>
              <w:end w:w="140" w:type="dxa"/>
            </w:tcMar>
            <w:vAlign w:val="center"/>
            <w:shd w:fill="CE9036"/>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#CE9036</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Medium amber</w:t>
            </w:r>
          </w:p>
        </w:tc>
      </w:tr>
      <w:tr>
        <w:tc>
          <w:tcPr>
            <w:tcW w:type="dxa" w:w="1000"/>
            <w:tcMar>
              <w:top w:w="100" w:type="dxa"/>
              <w:start w:w="140" w:type="dxa"/>
              <w:bottom w:w="100" w:type="dxa"/>
              <w:end w:w="140" w:type="dxa"/>
            </w:tcMar>
            <w:vAlign w:val="center"/>
            <w:shd w:fill="AF7E35"/>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#AF7E35</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Bronze</w:t>
            </w:r>
          </w:p>
        </w:tc>
      </w:tr>
      <w:tr>
        <w:tc>
          <w:tcPr>
            <w:tcW w:type="dxa" w:w="1000"/>
            <w:tcMar>
              <w:top w:w="100" w:type="dxa"/>
              <w:start w:w="140" w:type="dxa"/>
              <w:bottom w:w="100" w:type="dxa"/>
              <w:end w:w="140" w:type="dxa"/>
            </w:tcMar>
            <w:vAlign w:val="center"/>
            <w:shd w:fill="7E592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#7E5928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Dark bronze</w:t>
            </w:r>
          </w:p>
        </w:tc>
      </w:tr>
    </w:tbl>
    <w:p>
      <w:pPr>
        <w:spacing w:after="20"/>
      </w:pPr>
    </w:p>
    <w:p>
      <w:pPr>
        <w:pStyle w:val="Heading2"/>
      </w:pPr>
      <w:r>
        <w:t>Lime and verification green</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DCEC52"/>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#DCEC52</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Bright verification lime</w:t>
            </w:r>
          </w:p>
        </w:tc>
      </w:tr>
      <w:tr>
        <w:tc>
          <w:tcPr>
            <w:tcW w:type="dxa" w:w="1000"/>
            <w:tcMar>
              <w:top w:w="100" w:type="dxa"/>
              <w:start w:w="140" w:type="dxa"/>
              <w:bottom w:w="100" w:type="dxa"/>
              <w:end w:w="140" w:type="dxa"/>
            </w:tcMar>
            <w:vAlign w:val="center"/>
            <w:shd w:fill="9DCC41"/>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#9DCC41</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Primary lime</w:t>
            </w:r>
          </w:p>
        </w:tc>
      </w:tr>
      <w:tr>
        <w:tc>
          <w:tcPr>
            <w:tcW w:type="dxa" w:w="1000"/>
            <w:tcMar>
              <w:top w:w="100" w:type="dxa"/>
              <w:start w:w="140" w:type="dxa"/>
              <w:bottom w:w="100" w:type="dxa"/>
              <w:end w:w="140" w:type="dxa"/>
            </w:tcMar>
            <w:vAlign w:val="center"/>
            <w:shd w:fill="76A136"/>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#76A136</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Muted green</w:t>
            </w:r>
          </w:p>
        </w:tc>
      </w:tr>
      <w:tr>
        <w:tc>
          <w:tcPr>
            <w:tcW w:type="dxa" w:w="1000"/>
            <w:tcMar>
              <w:top w:w="100" w:type="dxa"/>
              <w:start w:w="140" w:type="dxa"/>
              <w:bottom w:w="100" w:type="dxa"/>
              <w:end w:w="140" w:type="dxa"/>
            </w:tcMar>
            <w:vAlign w:val="center"/>
            <w:shd w:fill="54772E"/>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#54772E</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Forest lime</w:t>
            </w:r>
          </w:p>
        </w:tc>
      </w:tr>
      <w:tr>
        <w:tc>
          <w:tcPr>
            <w:tcW w:type="dxa" w:w="1000"/>
            <w:tcMar>
              <w:top w:w="100" w:type="dxa"/>
              <w:start w:w="140" w:type="dxa"/>
              <w:bottom w:w="100" w:type="dxa"/>
              <w:end w:w="140" w:type="dxa"/>
            </w:tcMar>
            <w:vAlign w:val="center"/>
            <w:shd w:fill="2D562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#2D5628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Deep green</w:t>
            </w:r>
          </w:p>
        </w:tc>
      </w:tr>
    </w:tbl>
    <w:p>
      <w:pPr>
        <w:spacing w:after="20"/>
      </w:pPr>
    </w:p>
    <w:p>
      <w:r>
        <w:br w:type="page"/>
      </w:r>
    </w:p>
    <w:p>
      <w:pPr>
        <w:pStyle w:val="Heading1"/>
      </w:pPr>
      <w:r>
        <w:t>Extended image palette — continued</w:t>
      </w:r>
    </w:p>
    <w:p>
      <w:pPr>
        <w:pStyle w:val="Heading2"/>
      </w:pPr>
      <w:r>
        <w:t>Teal and aqua</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78DEE2"/>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#78DEE2</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Pale aqua highlight</w:t>
            </w:r>
          </w:p>
        </w:tc>
      </w:tr>
      <w:tr>
        <w:tc>
          <w:tcPr>
            <w:tcW w:type="dxa" w:w="1000"/>
            <w:tcMar>
              <w:top w:w="100" w:type="dxa"/>
              <w:start w:w="140" w:type="dxa"/>
              <w:bottom w:w="100" w:type="dxa"/>
              <w:end w:w="140" w:type="dxa"/>
            </w:tcMar>
            <w:vAlign w:val="center"/>
            <w:shd w:fill="21CED0"/>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#21CED0</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Luminous cyan-teal</w:t>
            </w:r>
          </w:p>
        </w:tc>
      </w:tr>
      <w:tr>
        <w:tc>
          <w:tcPr>
            <w:tcW w:type="dxa" w:w="1000"/>
            <w:tcMar>
              <w:top w:w="100" w:type="dxa"/>
              <w:start w:w="140" w:type="dxa"/>
              <w:bottom w:w="100" w:type="dxa"/>
              <w:end w:w="140" w:type="dxa"/>
            </w:tcMar>
            <w:vAlign w:val="center"/>
            <w:shd w:fill="3CA295"/>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#3CA295</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Bright teal</w:t>
            </w:r>
          </w:p>
        </w:tc>
      </w:tr>
      <w:tr>
        <w:tc>
          <w:tcPr>
            <w:tcW w:type="dxa" w:w="1000"/>
            <w:tcMar>
              <w:top w:w="100" w:type="dxa"/>
              <w:start w:w="140" w:type="dxa"/>
              <w:bottom w:w="100" w:type="dxa"/>
              <w:end w:w="140" w:type="dxa"/>
            </w:tcMar>
            <w:vAlign w:val="center"/>
            <w:shd w:fill="18A19F"/>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#18A19F</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Saturated teal</w:t>
            </w:r>
          </w:p>
        </w:tc>
      </w:tr>
      <w:tr>
        <w:tc>
          <w:tcPr>
            <w:tcW w:type="dxa" w:w="1000"/>
            <w:tcMar>
              <w:top w:w="100" w:type="dxa"/>
              <w:start w:w="140" w:type="dxa"/>
              <w:bottom w:w="100" w:type="dxa"/>
              <w:end w:w="140" w:type="dxa"/>
            </w:tcMar>
            <w:vAlign w:val="center"/>
            <w:shd w:fill="26877F"/>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#26877F</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Medium teal</w:t>
            </w:r>
          </w:p>
        </w:tc>
      </w:tr>
      <w:tr>
        <w:tc>
          <w:tcPr>
            <w:tcW w:type="dxa" w:w="1000"/>
            <w:tcMar>
              <w:top w:w="100" w:type="dxa"/>
              <w:start w:w="140" w:type="dxa"/>
              <w:bottom w:w="100" w:type="dxa"/>
              <w:end w:w="140" w:type="dxa"/>
            </w:tcMar>
            <w:vAlign w:val="center"/>
            <w:shd w:fill="185950"/>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#185950</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Deep teal</w:t>
            </w:r>
          </w:p>
        </w:tc>
      </w:tr>
    </w:tbl>
    <w:p>
      <w:pPr>
        <w:spacing w:after="20"/>
      </w:pPr>
    </w:p>
    <w:p>
      <w:pPr>
        <w:pStyle w:val="Heading2"/>
      </w:pPr>
      <w:r>
        <w:t>Blue</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4899C0"/>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#4899C0</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Light interface blue</w:t>
            </w:r>
          </w:p>
        </w:tc>
      </w:tr>
      <w:tr>
        <w:tc>
          <w:tcPr>
            <w:tcW w:type="dxa" w:w="1000"/>
            <w:tcMar>
              <w:top w:w="100" w:type="dxa"/>
              <w:start w:w="140" w:type="dxa"/>
              <w:bottom w:w="100" w:type="dxa"/>
              <w:end w:w="140" w:type="dxa"/>
            </w:tcMar>
            <w:vAlign w:val="center"/>
            <w:shd w:fill="266992"/>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#266992</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Medium blue</w:t>
            </w:r>
          </w:p>
        </w:tc>
      </w:tr>
      <w:tr>
        <w:tc>
          <w:tcPr>
            <w:tcW w:type="dxa" w:w="1000"/>
            <w:tcMar>
              <w:top w:w="100" w:type="dxa"/>
              <w:start w:w="140" w:type="dxa"/>
              <w:bottom w:w="100" w:type="dxa"/>
              <w:end w:w="140" w:type="dxa"/>
            </w:tcMar>
            <w:vAlign w:val="center"/>
            <w:shd w:fill="596EB4"/>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#596EB4</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Periwinkle blue</w:t>
            </w:r>
          </w:p>
        </w:tc>
      </w:tr>
      <w:tr>
        <w:tc>
          <w:tcPr>
            <w:tcW w:type="dxa" w:w="1000"/>
            <w:tcMar>
              <w:top w:w="100" w:type="dxa"/>
              <w:start w:w="140" w:type="dxa"/>
              <w:bottom w:w="100" w:type="dxa"/>
              <w:end w:w="140" w:type="dxa"/>
            </w:tcMar>
            <w:vAlign w:val="center"/>
            <w:shd w:fill="43549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#435498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Muted royal blue</w:t>
            </w:r>
          </w:p>
        </w:tc>
      </w:tr>
      <w:tr>
        <w:tc>
          <w:tcPr>
            <w:tcW w:type="dxa" w:w="1000"/>
            <w:tcMar>
              <w:top w:w="100" w:type="dxa"/>
              <w:start w:w="140" w:type="dxa"/>
              <w:bottom w:w="100" w:type="dxa"/>
              <w:end w:w="140" w:type="dxa"/>
            </w:tcMar>
            <w:vAlign w:val="center"/>
            <w:shd w:fill="31437C"/>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#31437C</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Deep blue</w:t>
            </w:r>
          </w:p>
        </w:tc>
      </w:tr>
      <w:tr>
        <w:tc>
          <w:tcPr>
            <w:tcW w:type="dxa" w:w="1000"/>
            <w:tcMar>
              <w:top w:w="100" w:type="dxa"/>
              <w:start w:w="140" w:type="dxa"/>
              <w:bottom w:w="100" w:type="dxa"/>
              <w:end w:w="140" w:type="dxa"/>
            </w:tcMar>
            <w:vAlign w:val="center"/>
            <w:shd w:fill="2A346D"/>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#2A346D</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Indigo</w:t>
            </w:r>
          </w:p>
        </w:tc>
      </w:tr>
    </w:tbl>
    <w:p>
      <w:pPr>
        <w:spacing w:after="20"/>
      </w:pPr>
    </w:p>
    <w:p>
      <w:r>
        <w:br w:type="page"/>
      </w:r>
    </w:p>
    <w:p>
      <w:pPr>
        <w:pStyle w:val="Heading1"/>
      </w:pPr>
      <w:r>
        <w:t>Extended image palette — continued</w:t>
      </w:r>
    </w:p>
    <w:p>
      <w:pPr>
        <w:pStyle w:val="Heading2"/>
      </w:pPr>
      <w:r>
        <w:t>Violet accents</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7F71B2"/>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#7F71B2</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Light violet</w:t>
            </w:r>
          </w:p>
        </w:tc>
      </w:tr>
      <w:tr>
        <w:tc>
          <w:tcPr>
            <w:tcW w:type="dxa" w:w="1000"/>
            <w:tcMar>
              <w:top w:w="100" w:type="dxa"/>
              <w:start w:w="140" w:type="dxa"/>
              <w:bottom w:w="100" w:type="dxa"/>
              <w:end w:w="140" w:type="dxa"/>
            </w:tcMar>
            <w:vAlign w:val="center"/>
            <w:shd w:fill="6F5F9F"/>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#6F5F9F</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Muted violet</w:t>
            </w:r>
          </w:p>
        </w:tc>
      </w:tr>
      <w:tr>
        <w:tc>
          <w:tcPr>
            <w:tcW w:type="dxa" w:w="1000"/>
            <w:tcMar>
              <w:top w:w="100" w:type="dxa"/>
              <w:start w:w="140" w:type="dxa"/>
              <w:bottom w:w="100" w:type="dxa"/>
              <w:end w:w="140" w:type="dxa"/>
            </w:tcMar>
            <w:vAlign w:val="center"/>
            <w:shd w:fill="59488A"/>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#59488A</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Primary violet</w:t>
            </w:r>
          </w:p>
        </w:tc>
      </w:tr>
      <w:tr>
        <w:tc>
          <w:tcPr>
            <w:tcW w:type="dxa" w:w="1000"/>
            <w:tcMar>
              <w:top w:w="100" w:type="dxa"/>
              <w:start w:w="140" w:type="dxa"/>
              <w:bottom w:w="100" w:type="dxa"/>
              <w:end w:w="140" w:type="dxa"/>
            </w:tcMar>
            <w:vAlign w:val="center"/>
            <w:shd w:fill="423663"/>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#423663</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Deep violet</w:t>
            </w:r>
          </w:p>
        </w:tc>
      </w:tr>
    </w:tbl>
    <w:p>
      <w:pPr>
        <w:spacing w:after="20"/>
      </w:pPr>
    </w:p>
    <w:p>
      <w:pPr>
        <w:pStyle w:val="Heading2"/>
      </w:pPr>
      <w:r>
        <w:t>Silver and document neutrals</w:t>
      </w:r>
    </w:p>
    <w:tbl>
      <w:tblPr>
        <w:tblW w:type="auto" w:w="0"/>
        <w:tblLayout w:type="fixed"/>
        <w:tblLook w:firstColumn="1" w:firstRow="1" w:lastColumn="0" w:lastRow="0" w:noHBand="0" w:noVBand="1" w:val="04A0"/>
        <w:tblBorders>
          <w:top w:val="single" w:sz="6" w:color="D6DEE5"/>
          <w:left w:val="single" w:sz="6" w:color="D6DEE5"/>
          <w:bottom w:val="single" w:sz="6" w:color="D6DEE5"/>
          <w:right w:val="single" w:sz="6" w:color="D6DEE5"/>
          <w:insideH w:val="single" w:sz="6" w:color="D6DEE5"/>
          <w:insideV w:val="single" w:sz="6" w:color="D6DEE5"/>
        </w:tblBorders>
      </w:tblPr>
      <w:tblGrid>
        <w:gridCol w:w="3312"/>
        <w:gridCol w:w="3312"/>
        <w:gridCol w:w="3312"/>
      </w:tblGrid>
      <w:tr>
        <w:tc>
          <w:tcPr>
            <w:tcW w:type="dxa" w:w="1000"/>
            <w:shd w:fill="17212B"/>
            <w:tcMar>
              <w:top w:w="100" w:type="dxa"/>
              <w:start w:w="140" w:type="dxa"/>
              <w:bottom w:w="100" w:type="dxa"/>
              <w:end w:w="140" w:type="dxa"/>
            </w:tcMar>
          </w:tcPr>
          <w:p>
            <w:pPr>
              <w:jc w:val="center"/>
            </w:pPr>
            <w:r>
              <w:rPr>
                <w:rFonts w:ascii="Aptos" w:hAnsi="Aptos"/>
                <w:b/>
                <w:color w:val="FFFFFF"/>
                <w:sz w:val="19"/>
              </w:rPr>
              <w:t>Swatch</w:t>
            </w:r>
          </w:p>
        </w:tc>
        <w:tc>
          <w:tcPr>
            <w:tcW w:type="dxa" w:w="1700"/>
            <w:shd w:fill="17212B"/>
            <w:tcMar>
              <w:top w:w="100" w:type="dxa"/>
              <w:start w:w="140" w:type="dxa"/>
              <w:bottom w:w="100" w:type="dxa"/>
              <w:end w:w="140" w:type="dxa"/>
            </w:tcMar>
          </w:tcPr>
          <w:p>
            <w:pPr>
              <w:jc w:val="center"/>
            </w:pPr>
            <w:r>
              <w:rPr>
                <w:rFonts w:ascii="Aptos" w:hAnsi="Aptos"/>
                <w:b/>
                <w:color w:val="FFFFFF"/>
                <w:sz w:val="19"/>
              </w:rPr>
              <w:t>Hex</w:t>
            </w:r>
          </w:p>
        </w:tc>
        <w:tc>
          <w:tcPr>
            <w:tcW w:type="dxa" w:w="6660"/>
            <w:shd w:fill="17212B"/>
            <w:tcMar>
              <w:top w:w="100" w:type="dxa"/>
              <w:start w:w="140" w:type="dxa"/>
              <w:bottom w:w="100" w:type="dxa"/>
              <w:end w:w="140" w:type="dxa"/>
            </w:tcMar>
          </w:tcPr>
          <w:p>
            <w:pPr>
              <w:jc w:val="left"/>
            </w:pPr>
            <w:r>
              <w:rPr>
                <w:rFonts w:ascii="Aptos" w:hAnsi="Aptos"/>
                <w:b/>
                <w:color w:val="FFFFFF"/>
                <w:sz w:val="19"/>
              </w:rPr>
              <w:t>Color</w:t>
            </w:r>
          </w:p>
        </w:tc>
      </w:tr>
      <w:tr>
        <w:tc>
          <w:tcPr>
            <w:tcW w:type="dxa" w:w="1000"/>
            <w:tcMar>
              <w:top w:w="100" w:type="dxa"/>
              <w:start w:w="140" w:type="dxa"/>
              <w:bottom w:w="100" w:type="dxa"/>
              <w:end w:w="140" w:type="dxa"/>
            </w:tcMar>
            <w:vAlign w:val="center"/>
            <w:shd w:fill="D9E3D9"/>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#D9E3D9</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Pale silver</w:t>
            </w:r>
          </w:p>
        </w:tc>
      </w:tr>
      <w:tr>
        <w:tc>
          <w:tcPr>
            <w:tcW w:type="dxa" w:w="1000"/>
            <w:tcMar>
              <w:top w:w="100" w:type="dxa"/>
              <w:start w:w="140" w:type="dxa"/>
              <w:bottom w:w="100" w:type="dxa"/>
              <w:end w:w="140" w:type="dxa"/>
            </w:tcMar>
            <w:vAlign w:val="center"/>
            <w:shd w:fill="B8B8B5"/>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#B8B8B5</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Light gray</w:t>
            </w:r>
          </w:p>
        </w:tc>
      </w:tr>
      <w:tr>
        <w:tc>
          <w:tcPr>
            <w:tcW w:type="dxa" w:w="1000"/>
            <w:tcMar>
              <w:top w:w="100" w:type="dxa"/>
              <w:start w:w="140" w:type="dxa"/>
              <w:bottom w:w="100" w:type="dxa"/>
              <w:end w:w="140" w:type="dxa"/>
            </w:tcMar>
            <w:vAlign w:val="center"/>
            <w:shd w:fill="A9A6A7"/>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#A9A6A7</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Warm gray</w:t>
            </w:r>
          </w:p>
        </w:tc>
      </w:tr>
      <w:tr>
        <w:tc>
          <w:tcPr>
            <w:tcW w:type="dxa" w:w="1000"/>
            <w:tcMar>
              <w:top w:w="100" w:type="dxa"/>
              <w:start w:w="140" w:type="dxa"/>
              <w:bottom w:w="100" w:type="dxa"/>
              <w:end w:w="140" w:type="dxa"/>
            </w:tcMar>
            <w:vAlign w:val="center"/>
            <w:shd w:fill="91999F"/>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#91999F</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Cool gray</w:t>
            </w:r>
          </w:p>
        </w:tc>
      </w:tr>
      <w:tr>
        <w:tc>
          <w:tcPr>
            <w:tcW w:type="dxa" w:w="1000"/>
            <w:tcMar>
              <w:top w:w="100" w:type="dxa"/>
              <w:start w:w="140" w:type="dxa"/>
              <w:bottom w:w="100" w:type="dxa"/>
              <w:end w:w="140" w:type="dxa"/>
            </w:tcMar>
            <w:vAlign w:val="center"/>
            <w:shd w:fill="6A7278"/>
          </w:tcPr>
          <w:p>
            <w:pPr>
              <w:spacing w:after="0"/>
              <w:jc w:val="center"/>
            </w:pPr>
          </w:p>
        </w:tc>
        <w:tc>
          <w:tcPr>
            <w:tcW w:type="dxa" w:w="1700"/>
            <w:tcMar>
              <w:top w:w="100" w:type="dxa"/>
              <w:start w:w="140" w:type="dxa"/>
              <w:bottom w:w="100" w:type="dxa"/>
              <w:end w:w="140" w:type="dxa"/>
            </w:tcMar>
            <w:vAlign w:val="center"/>
          </w:tcPr>
          <w:p>
            <w:pPr>
              <w:spacing w:after="0"/>
              <w:jc w:val="center"/>
            </w:pPr>
            <w:r>
              <w:rPr>
                <w:rFonts w:ascii="Aptos" w:hAnsi="Aptos"/>
                <w:b/>
                <w:color w:val="17212B"/>
                <w:sz w:val="20"/>
              </w:rPr>
              <w:t>#6A7278</w:t>
            </w:r>
          </w:p>
        </w:tc>
        <w:tc>
          <w:tcPr>
            <w:tcW w:type="dxa" w:w="6660"/>
            <w:tcMar>
              <w:top w:w="100" w:type="dxa"/>
              <w:start w:w="140" w:type="dxa"/>
              <w:bottom w:w="100" w:type="dxa"/>
              <w:end w:w="140" w:type="dxa"/>
            </w:tcMar>
            <w:vAlign w:val="center"/>
          </w:tcPr>
          <w:p>
            <w:pPr>
              <w:spacing w:after="0"/>
              <w:jc w:val="left"/>
            </w:pPr>
            <w:r>
              <w:rPr>
                <w:rFonts w:ascii="Aptos" w:hAnsi="Aptos"/>
                <w:b w:val="0"/>
                <w:color w:val="17212B"/>
                <w:sz w:val="20"/>
              </w:rPr>
              <w:t>Dark steel</w:t>
            </w:r>
          </w:p>
        </w:tc>
      </w:tr>
    </w:tbl>
    <w:p>
      <w:pPr>
        <w:spacing w:after="20"/>
      </w:pP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A7278"/>
        <w:sz w:val="16"/>
      </w:rPr>
      <w:t>Color palette exploration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A7278"/>
        <w:sz w:val="17"/>
      </w:rPr>
      <w:t>IMPRESARI CONTEXT  /  BRAND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66992"/>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5948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12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