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C433B3" w14:textId="77777777" w:rsidR="007615C1" w:rsidRDefault="00000000">
      <w:pPr>
        <w:pStyle w:val="FirstParagraph"/>
      </w:pPr>
      <w:r>
        <w:rPr>
          <w:i/>
          <w:iCs/>
        </w:rPr>
        <w:t>[Results — REPLACES the paragraph beginning “We can predict heritable variation in longevity”]</w:t>
      </w:r>
    </w:p>
    <w:p w14:paraId="58BA4606" w14:textId="6C72BC1F" w:rsidR="00636577" w:rsidRDefault="00000000">
      <w:pPr>
        <w:pStyle w:val="BodyText"/>
      </w:pPr>
      <w:r>
        <w:t xml:space="preserve">We can predict heritable variation in longevity in held-out replicates. Holding out each of the ten replicates in turn, its control pool and the frequency changes at the </w:t>
      </w:r>
      <w:r>
        <w:rPr>
          <w:i/>
          <w:iCs/>
        </w:rPr>
        <w:t>N</w:t>
      </w:r>
      <w:r>
        <w:t xml:space="preserve"> best markers in the other nine predict the founder frequencies of its selected pool</w:t>
      </w:r>
      <w:r w:rsidR="00636577">
        <w:t>. F</w:t>
      </w:r>
      <w:r>
        <w:t xml:space="preserve">or the ten best markers, predicted and observed </w:t>
      </w:r>
      <w:r w:rsidR="00636577">
        <w:t xml:space="preserve">founder frequency </w:t>
      </w:r>
      <w:r>
        <w:t xml:space="preserve">changes agree with </w:t>
      </w:r>
      <w:r>
        <w:rPr>
          <w:i/>
          <w:iCs/>
        </w:rPr>
        <w:t>R</w:t>
      </w:r>
      <w:r>
        <w:t>² = 0.60–0.69 across treatments (Fig. Ya).</w:t>
      </w:r>
      <w:r w:rsidR="00636577">
        <w:t xml:space="preserve"> Predicting founder allele frequencies in held out selected pools further allow us to estimate the proportion of heritable variation in longevity explained. We first asked how well a perfect best N-marker predictor explains heritable variation.  To do this we used a pool of 5 … 4 …. 1 to do blah.  This sampling scheme allowed us to estimate the proportion of heritable variation explained, while accounting to the winner’s curse in choosing the best N markers. We observe blah blah, depicted as the red line in panel B.  It is apparent that predictors based on 20-30 markers explain xx to </w:t>
      </w:r>
      <w:proofErr w:type="spellStart"/>
      <w:r w:rsidR="00636577">
        <w:t>yy</w:t>
      </w:r>
      <w:proofErr w:type="spellEnd"/>
      <w:r w:rsidR="00636577">
        <w:t xml:space="preserve">% of marker-based estimated of heritable variation, presumably the remainder smaller effect polygenic regions.  We then ask what percent of this theoretical maximum variance explained by the best N-markers is captured by our predictor.  We do this via </w:t>
      </w:r>
      <w:proofErr w:type="gramStart"/>
      <w:r w:rsidR="00636577">
        <w:t>blah, and</w:t>
      </w:r>
      <w:proofErr w:type="gramEnd"/>
      <w:r w:rsidR="00636577">
        <w:t xml:space="preserve"> observe blah.  What we observe is that the best N-marker predictor starts to lose efficiency and the blue lines start to plateau at around 20-30 markers, presumably because smaller effect loci’s effects are estimated less robustly and so </w:t>
      </w:r>
      <w:r w:rsidR="008761A5">
        <w:t xml:space="preserve">adding more helps the predictor </w:t>
      </w:r>
      <w:proofErr w:type="gramStart"/>
      <w:r w:rsidR="008761A5">
        <w:t>less and less</w:t>
      </w:r>
      <w:proofErr w:type="gramEnd"/>
      <w:r w:rsidR="008761A5">
        <w:t>.  These caveat aside, d</w:t>
      </w:r>
      <w:r w:rsidR="008761A5">
        <w:t xml:space="preserve">espite variation in longevity being polygenic and spread throughout the genome, a few dozen haplotype blocks account for </w:t>
      </w:r>
      <w:r w:rsidR="008761A5">
        <w:t>a large fraction</w:t>
      </w:r>
      <w:r w:rsidR="008761A5">
        <w:t xml:space="preserve"> of the heritable variation we can detect.</w:t>
      </w:r>
    </w:p>
    <w:p w14:paraId="630B2C88" w14:textId="77777777" w:rsidR="00636577" w:rsidRDefault="00636577">
      <w:pPr>
        <w:pStyle w:val="BodyText"/>
      </w:pPr>
    </w:p>
    <w:p w14:paraId="7900550F" w14:textId="67E27180" w:rsidR="007615C1" w:rsidRDefault="00000000">
      <w:pPr>
        <w:pStyle w:val="BodyText"/>
      </w:pPr>
      <w:r>
        <w:t xml:space="preserve"> A predictor built on thirty markers explains 8.3–12.7% of phenotypic variance in the held-out replicate, against a marker-based heritability of 11.4–17.1% for the whole genome (Fig. Yb; Methods). The thirty regions themselves hold 9.6–13.9%. A predictor therefore captures 84–91% of what its regions hold, while those regions hold 78–84% of the heritability in the genome: the limit is the number of regions, not the precision with which their effects are estimated. Both curves are still rising at forty markers, where 5 cM clumping exhausts the genome, and the gap between them stays small. </w:t>
      </w:r>
    </w:p>
    <w:p w14:paraId="1CCC0F7F" w14:textId="77777777" w:rsidR="007615C1" w:rsidRDefault="00000000">
      <w:pPr>
        <w:pStyle w:val="BodyText"/>
      </w:pPr>
      <w:r>
        <w:rPr>
          <w:i/>
          <w:iCs/>
        </w:rPr>
        <w:t>[Methods — paste after the Heritability section, before “The relationship between the Wald test and h²”]</w:t>
      </w:r>
    </w:p>
    <w:p w14:paraId="5B7B35F4" w14:textId="77777777" w:rsidR="007615C1" w:rsidRDefault="00000000">
      <w:pPr>
        <w:pStyle w:val="BodyText"/>
      </w:pPr>
      <w:r>
        <w:rPr>
          <w:b/>
          <w:bCs/>
        </w:rPr>
        <w:t>Marker-based heritability.</w:t>
      </w:r>
      <w:r>
        <w:t xml:space="preserve"> The heritability of each trait that founder haplotypes capture genome-wide is the sum of </w:t>
      </w:r>
      <m:oMath>
        <m:sSup>
          <m:sSupPr>
            <m:ctrlPr>
              <w:rPr>
                <w:rFonts w:ascii="Cambria Math" w:hAnsi="Cambria Math"/>
              </w:rPr>
            </m:ctrlPr>
          </m:sSupPr>
          <m:e>
            <m:acc>
              <m:accPr>
                <m:ctrlPr>
                  <w:rPr>
                    <w:rFonts w:ascii="Cambria Math" w:hAnsi="Cambria Math"/>
                  </w:rPr>
                </m:ctrlPr>
              </m:accPr>
              <m:e>
                <m:r>
                  <w:rPr>
                    <w:rFonts w:ascii="Cambria Math" w:hAnsi="Cambria Math"/>
                  </w:rPr>
                  <m:t>h</m:t>
                </m:r>
              </m:e>
            </m:acc>
          </m:e>
          <m:sup>
            <m:r>
              <w:rPr>
                <w:rFonts w:ascii="Cambria Math" w:hAnsi="Cambria Math"/>
              </w:rPr>
              <m:t>2</m:t>
            </m:r>
          </m:sup>
        </m:sSup>
      </m:oMath>
      <w:r>
        <w:t xml:space="preserve"> over the 268 1 cM tiles, corrected by a multiplicative constant to account for adjacent tiles being correlated. We estimate the constant from the peaks of Table S1. For each peak, in the treatment where it is strongest, we plotted </w:t>
      </w:r>
      <m:oMath>
        <m:sSup>
          <m:sSupPr>
            <m:ctrlPr>
              <w:rPr>
                <w:rFonts w:ascii="Cambria Math" w:hAnsi="Cambria Math"/>
              </w:rPr>
            </m:ctrlPr>
          </m:sSupPr>
          <m:e>
            <m:acc>
              <m:accPr>
                <m:ctrlPr>
                  <w:rPr>
                    <w:rFonts w:ascii="Cambria Math" w:hAnsi="Cambria Math"/>
                  </w:rPr>
                </m:ctrlPr>
              </m:accPr>
              <m:e>
                <m:r>
                  <w:rPr>
                    <w:rFonts w:ascii="Cambria Math" w:hAnsi="Cambria Math"/>
                  </w:rPr>
                  <m:t>h</m:t>
                </m:r>
              </m:e>
            </m:acc>
          </m:e>
          <m:sup>
            <m:r>
              <w:rPr>
                <w:rFonts w:ascii="Cambria Math" w:hAnsi="Cambria Math"/>
              </w:rPr>
              <m:t>2</m:t>
            </m:r>
          </m:sup>
        </m:sSup>
      </m:oMath>
      <w:r>
        <w:t xml:space="preserve"> against distance from the peak, out to 6 cM on whichever side has no other peak, subtracted the floor of </w:t>
      </w:r>
      <m:oMath>
        <m:sSup>
          <m:sSupPr>
            <m:ctrlPr>
              <w:rPr>
                <w:rFonts w:ascii="Cambria Math" w:hAnsi="Cambria Math"/>
              </w:rPr>
            </m:ctrlPr>
          </m:sSupPr>
          <m:e>
            <m:acc>
              <m:accPr>
                <m:ctrlPr>
                  <w:rPr>
                    <w:rFonts w:ascii="Cambria Math" w:hAnsi="Cambria Math"/>
                  </w:rPr>
                </m:ctrlPr>
              </m:accPr>
              <m:e>
                <m:r>
                  <w:rPr>
                    <w:rFonts w:ascii="Cambria Math" w:hAnsi="Cambria Math"/>
                  </w:rPr>
                  <m:t>h</m:t>
                </m:r>
              </m:e>
            </m:acc>
          </m:e>
          <m:sup>
            <m:r>
              <w:rPr>
                <w:rFonts w:ascii="Cambria Math" w:hAnsi="Cambria Math"/>
              </w:rPr>
              <m:t>2</m:t>
            </m:r>
          </m:sup>
        </m:sSup>
      </m:oMath>
      <w:r>
        <w:t xml:space="preserve"> at non-significant tiles, and divided the area under the curve by the height of the peak. Over the seventeen peaks that can be measured the signal spans </w:t>
      </w:r>
      <w:r>
        <w:lastRenderedPageBreak/>
        <w:t>from 1.0 to 8.3 tiles with a mean correction of 3.8 and quartiles of 2.6 and 4.1. Marker-based heritability is therefore</w:t>
      </w:r>
    </w:p>
    <w:p w14:paraId="20D1C209" w14:textId="77777777" w:rsidR="007615C1" w:rsidRDefault="00000000">
      <w:pPr>
        <w:pStyle w:val="BodyText"/>
      </w:pPr>
      <m:oMathPara>
        <m:oMathParaPr>
          <m:jc m:val="center"/>
        </m:oMathParaPr>
        <m:oMath>
          <m:f>
            <m:fPr>
              <m:ctrlPr>
                <w:rPr>
                  <w:rFonts w:ascii="Cambria Math" w:hAnsi="Cambria Math"/>
                </w:rPr>
              </m:ctrlPr>
            </m:fPr>
            <m:num>
              <m:r>
                <w:rPr>
                  <w:rFonts w:ascii="Cambria Math" w:hAnsi="Cambria Math"/>
                </w:rPr>
                <m:t>1</m:t>
              </m:r>
            </m:num>
            <m:den>
              <m:r>
                <w:rPr>
                  <w:rFonts w:ascii="Cambria Math" w:hAnsi="Cambria Math"/>
                </w:rPr>
                <m:t>3.8</m:t>
              </m:r>
            </m:den>
          </m:f>
          <m:nary>
            <m:naryPr>
              <m:chr m:val="∑"/>
              <m:limLoc m:val="undOvr"/>
              <m:supHide m:val="1"/>
              <m:ctrlPr>
                <w:rPr>
                  <w:rFonts w:ascii="Cambria Math" w:hAnsi="Cambria Math"/>
                </w:rPr>
              </m:ctrlPr>
            </m:naryPr>
            <m:sub>
              <m:r>
                <m:rPr>
                  <m:sty m:val="p"/>
                </m:rPr>
                <w:rPr>
                  <w:rFonts w:ascii="Cambria Math" w:hAnsi="Cambria Math"/>
                </w:rPr>
                <m:t>tiles</m:t>
              </m:r>
            </m:sub>
            <m:sup>
              <m:r>
                <w:rPr>
                  <w:rFonts w:ascii="Cambria Math" w:hAnsi="Cambria Math"/>
                </w:rPr>
                <m:t>​</m:t>
              </m:r>
            </m:sup>
            <m:e>
              <m:sSup>
                <m:sSupPr>
                  <m:ctrlPr>
                    <w:rPr>
                      <w:rFonts w:ascii="Cambria Math" w:hAnsi="Cambria Math"/>
                    </w:rPr>
                  </m:ctrlPr>
                </m:sSupPr>
                <m:e>
                  <m:acc>
                    <m:accPr>
                      <m:ctrlPr>
                        <w:rPr>
                          <w:rFonts w:ascii="Cambria Math" w:hAnsi="Cambria Math"/>
                        </w:rPr>
                      </m:ctrlPr>
                    </m:accPr>
                    <m:e>
                      <m:r>
                        <w:rPr>
                          <w:rFonts w:ascii="Cambria Math" w:hAnsi="Cambria Math"/>
                        </w:rPr>
                        <m:t>h</m:t>
                      </m:r>
                    </m:e>
                  </m:acc>
                </m:e>
                <m:sup>
                  <m:r>
                    <w:rPr>
                      <w:rFonts w:ascii="Cambria Math" w:hAnsi="Cambria Math"/>
                    </w:rPr>
                    <m:t>2</m:t>
                  </m:r>
                </m:sup>
              </m:sSup>
            </m:e>
          </m:nary>
          <m:r>
            <m:rPr>
              <m:sty m:val="p"/>
            </m:rPr>
            <w:rPr>
              <w:rFonts w:ascii="Cambria Math" w:hAnsi="Cambria Math"/>
            </w:rPr>
            <m:t>.</m:t>
          </m:r>
        </m:oMath>
      </m:oMathPara>
    </w:p>
    <w:p w14:paraId="2A0D986E" w14:textId="77777777" w:rsidR="007615C1" w:rsidRDefault="00000000">
      <w:pPr>
        <w:pStyle w:val="FirstParagraph"/>
      </w:pPr>
      <w:r>
        <w:t>Resulting point estimates of marker-based heritability are 11.4, 17.1, 13.4 and 16.4% for SY10 females, SY10 males, SY20 females and SY20 males respectively. Dividing by the quartiles instead of 3.8 gives 10.6–16.7, 15.9–25.2, 12.5–19.7 and 15.3–24.2%.</w:t>
      </w:r>
    </w:p>
    <w:p w14:paraId="669D8089" w14:textId="77777777" w:rsidR="007615C1" w:rsidRDefault="00000000">
      <w:pPr>
        <w:pStyle w:val="BodyText"/>
      </w:pPr>
      <w:r>
        <w:rPr>
          <w:i/>
          <w:iCs/>
        </w:rPr>
        <w:t>[Methods — REPLACES the existing “Out-of-sample prediction” paragraph entirely (two paragraphs now)]</w:t>
      </w:r>
    </w:p>
    <w:p w14:paraId="4358FA09" w14:textId="6D6169FC" w:rsidR="007615C1" w:rsidRDefault="00000000">
      <w:pPr>
        <w:pStyle w:val="BodyText"/>
      </w:pPr>
      <w:r>
        <w:rPr>
          <w:b/>
          <w:bCs/>
        </w:rPr>
        <w:t>Out-of-sample prediction.</w:t>
      </w:r>
      <w:r>
        <w:t xml:space="preserve"> A polygenic risk score predicts a phenotype from a</w:t>
      </w:r>
      <w:r w:rsidR="008761A5">
        <w:t>n out of sample</w:t>
      </w:r>
      <w:r>
        <w:t xml:space="preserve"> </w:t>
      </w:r>
      <w:r w:rsidR="008761A5">
        <w:t>individual</w:t>
      </w:r>
      <w:r>
        <w:t>. The counterpart here is to take the control pool</w:t>
      </w:r>
      <w:r w:rsidR="008761A5">
        <w:t xml:space="preserve"> genotypes</w:t>
      </w:r>
      <w:r>
        <w:t xml:space="preserve"> of a held-out replicate as given and predict the founder frequencies of its </w:t>
      </w:r>
      <w:r>
        <w:rPr>
          <w:i/>
          <w:iCs/>
        </w:rPr>
        <w:t>selected</w:t>
      </w:r>
      <w:r>
        <w:t xml:space="preserve"> pool, </w:t>
      </w:r>
      <w:r w:rsidR="008761A5">
        <w:t xml:space="preserve">then </w:t>
      </w:r>
      <w:r>
        <w:t>scor</w:t>
      </w:r>
      <w:r w:rsidR="008761A5">
        <w:t>e</w:t>
      </w:r>
      <w:r>
        <w:t xml:space="preserve"> th</w:t>
      </w:r>
      <w:r w:rsidR="008761A5">
        <w:t>ose</w:t>
      </w:r>
      <w:r>
        <w:t xml:space="preserve"> prediction</w:t>
      </w:r>
      <w:r w:rsidR="008761A5">
        <w:t>s</w:t>
      </w:r>
      <w:r>
        <w:t xml:space="preserve"> against what that pool shows. Each of the ten replicates was held out in turn</w:t>
      </w:r>
      <w:r w:rsidR="008761A5">
        <w:t xml:space="preserve"> and we </w:t>
      </w:r>
      <w:r>
        <w:t xml:space="preserve">write ⓡ </w:t>
      </w:r>
      <w:r w:rsidR="008761A5">
        <w:t>to indicate the</w:t>
      </w:r>
      <w:r>
        <w:t xml:space="preserve"> held-out</w:t>
      </w:r>
      <w:r w:rsidR="008761A5">
        <w:t xml:space="preserve"> sample below</w:t>
      </w:r>
      <w:r>
        <w:t xml:space="preserve">. From the other nine we estimate the response per unit of selection, </w:t>
      </w:r>
      <m:oMath>
        <m:sSub>
          <m:sSubPr>
            <m:ctrlPr>
              <w:rPr>
                <w:rFonts w:ascii="Cambria Math" w:hAnsi="Cambria Math"/>
              </w:rPr>
            </m:ctrlPr>
          </m:sSubPr>
          <m:e>
            <m:r>
              <w:rPr>
                <w:rFonts w:ascii="Cambria Math" w:hAnsi="Cambria Math"/>
              </w:rPr>
              <m:t>e</m:t>
            </m:r>
          </m:e>
          <m:sub>
            <m:r>
              <w:rPr>
                <w:rFonts w:ascii="Cambria Math" w:hAnsi="Cambria Math"/>
              </w:rPr>
              <m:t>fr</m:t>
            </m:r>
          </m:sub>
        </m:sSub>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fr</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oMath>
      <w:r>
        <w:t xml:space="preserve"> as in the heritability estimate above, with mean </w:t>
      </w:r>
      <m:oMath>
        <m:sSub>
          <m:sSubPr>
            <m:ctrlPr>
              <w:rPr>
                <w:rFonts w:ascii="Cambria Math" w:hAnsi="Cambria Math"/>
              </w:rPr>
            </m:ctrlPr>
          </m:sSubPr>
          <m:e>
            <m:bar>
              <m:barPr>
                <m:pos m:val="top"/>
                <m:ctrlPr>
                  <w:rPr>
                    <w:rFonts w:ascii="Cambria Math" w:hAnsi="Cambria Math"/>
                  </w:rPr>
                </m:ctrlPr>
              </m:barPr>
              <m:e>
                <m:r>
                  <w:rPr>
                    <w:rFonts w:ascii="Cambria Math" w:hAnsi="Cambria Math"/>
                  </w:rPr>
                  <m:t>e</m:t>
                </m:r>
              </m:e>
            </m:bar>
          </m:e>
          <m:sub>
            <m:r>
              <w:rPr>
                <w:rFonts w:ascii="Cambria Math" w:hAnsi="Cambria Math"/>
              </w:rPr>
              <m:t>f</m:t>
            </m:r>
          </m:sub>
        </m:sSub>
      </m:oMath>
      <w:r>
        <w:t>; rank positions by the heritability explained in those nine; and ke</w:t>
      </w:r>
      <w:r w:rsidR="008761A5">
        <w:t>ep</w:t>
      </w:r>
      <w:r>
        <w:t xml:space="preserve"> the best </w:t>
      </w:r>
      <m:oMath>
        <m:r>
          <w:rPr>
            <w:rFonts w:ascii="Cambria Math" w:hAnsi="Cambria Math"/>
          </w:rPr>
          <m:t>N</m:t>
        </m:r>
      </m:oMath>
      <w:r>
        <w:t xml:space="preserve"> as markers, each at least 5 cM from any better one. Since the held-out replicate’s selected proportion is known, its predicted selected-pool frequency at a marker is</w:t>
      </w:r>
    </w:p>
    <w:p w14:paraId="477D052F" w14:textId="77777777" w:rsidR="007615C1"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f</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f</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e</m:t>
                  </m:r>
                </m:e>
              </m:bar>
            </m:e>
            <m:sub>
              <m:r>
                <w:rPr>
                  <w:rFonts w:ascii="Cambria Math" w:hAnsi="Cambria Math"/>
                </w:rPr>
                <m:t>f</m:t>
              </m:r>
            </m:sub>
          </m:sSub>
          <m:r>
            <m:rPr>
              <m:sty m:val="p"/>
            </m:rPr>
            <w:rPr>
              <w:rFonts w:ascii="Cambria Math" w:hAnsi="Cambria Math"/>
            </w:rPr>
            <m:t>,</m:t>
          </m:r>
        </m:oMath>
      </m:oMathPara>
    </w:p>
    <w:p w14:paraId="223CB4B7" w14:textId="23C45697" w:rsidR="007615C1" w:rsidRDefault="00000000">
      <w:pPr>
        <w:pStyle w:val="FirstParagraph"/>
      </w:pPr>
      <w:r>
        <w:t xml:space="preserve">with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f</m:t>
            </m:r>
            <m:r>
              <m:rPr>
                <m:sty m:val="p"/>
              </m:rPr>
              <w:rPr>
                <w:rFonts w:ascii="Cambria Math" w:hAnsi="Cambria Math"/>
              </w:rPr>
              <m:t>ⓡ</m:t>
            </m:r>
          </m:sub>
        </m:sSub>
      </m:oMath>
      <w:r>
        <w:t xml:space="preserve"> the observed control frequency. Figure Ya plots the predicted change,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f</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f</m:t>
            </m:r>
            <m:r>
              <m:rPr>
                <m:sty m:val="p"/>
              </m:rPr>
              <w:rPr>
                <w:rFonts w:ascii="Cambria Math" w:hAnsi="Cambria Math"/>
              </w:rPr>
              <m:t>ⓡ</m:t>
            </m:r>
          </m:sub>
        </m:sSub>
      </m:oMath>
      <w:r>
        <w:t>, against the observed change</w:t>
      </w:r>
      <w:r w:rsidR="008761A5">
        <w:t>s</w:t>
      </w:r>
      <w:r>
        <w:t>.</w:t>
      </w:r>
    </w:p>
    <w:p w14:paraId="0DEDA5C1" w14:textId="77777777" w:rsidR="007615C1" w:rsidRDefault="00000000">
      <w:pPr>
        <w:pStyle w:val="BodyText"/>
      </w:pPr>
      <w:r>
        <w:t>Heritability explained in the held-out replicate at a marker is by extension</w:t>
      </w:r>
    </w:p>
    <w:p w14:paraId="70FC8559" w14:textId="77777777" w:rsidR="007615C1" w:rsidRDefault="00000000">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m:rPr>
                  <m:sty m:val="p"/>
                </m:rPr>
                <w:rPr>
                  <w:rFonts w:ascii="Cambria Math" w:hAnsi="Cambria Math"/>
                </w:rPr>
                <m:t>ⓡ</m:t>
              </m:r>
            </m:sub>
            <m:sup>
              <m:r>
                <w:rPr>
                  <w:rFonts w:ascii="Cambria Math" w:hAnsi="Cambria Math"/>
                </w:rPr>
                <m:t>2</m:t>
              </m:r>
            </m:sup>
          </m:sSubSup>
          <m:r>
            <m:rPr>
              <m:sty m:val="p"/>
            </m:rPr>
            <w:rPr>
              <w:rFonts w:ascii="Cambria Math" w:hAnsi="Cambria Math"/>
            </w:rPr>
            <m:t>=</m:t>
          </m:r>
          <m:r>
            <w:rPr>
              <w:rFonts w:ascii="Cambria Math" w:hAnsi="Cambria Math"/>
            </w:rPr>
            <m:t>100 k</m:t>
          </m:r>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f>
                <m:fPr>
                  <m:ctrlPr>
                    <w:rPr>
                      <w:rFonts w:ascii="Cambria Math" w:hAnsi="Cambria Math"/>
                    </w:rPr>
                  </m:ctrlPr>
                </m:fPr>
                <m:num>
                  <m:sSub>
                    <m:sSubPr>
                      <m:ctrlPr>
                        <w:rPr>
                          <w:rFonts w:ascii="Cambria Math" w:hAnsi="Cambria Math"/>
                        </w:rPr>
                      </m:ctrlPr>
                    </m:sSubPr>
                    <m:e>
                      <m:bar>
                        <m:barPr>
                          <m:pos m:val="top"/>
                          <m:ctrlPr>
                            <w:rPr>
                              <w:rFonts w:ascii="Cambria Math" w:hAnsi="Cambria Math"/>
                            </w:rPr>
                          </m:ctrlPr>
                        </m:barPr>
                        <m:e>
                          <m:r>
                            <w:rPr>
                              <w:rFonts w:ascii="Cambria Math" w:hAnsi="Cambria Math"/>
                            </w:rPr>
                            <m:t>e</m:t>
                          </m:r>
                        </m:e>
                      </m:bar>
                    </m:e>
                    <m:sub>
                      <m:r>
                        <w:rPr>
                          <w:rFonts w:ascii="Cambria Math" w:hAnsi="Cambria Math"/>
                        </w:rPr>
                        <m:t>f</m:t>
                      </m:r>
                    </m:sub>
                  </m:sSub>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f</m:t>
                      </m:r>
                      <m:r>
                        <m:rPr>
                          <m:sty m:val="p"/>
                        </m:rPr>
                        <w:rPr>
                          <w:rFonts w:ascii="Cambria Math" w:hAnsi="Cambria Math"/>
                        </w:rPr>
                        <m:t>ⓡ</m:t>
                      </m:r>
                    </m:sub>
                  </m:sSub>
                </m:num>
                <m:den>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f</m:t>
                      </m:r>
                    </m:sub>
                  </m:sSub>
                </m:den>
              </m:f>
            </m:e>
          </m:nary>
          <m:r>
            <m:rPr>
              <m:sty m:val="p"/>
            </m:rPr>
            <w:rPr>
              <w:rFonts w:ascii="Cambria Math" w:hAnsi="Cambria Math"/>
            </w:rPr>
            <m:t>.</m:t>
          </m:r>
        </m:oMath>
      </m:oMathPara>
    </w:p>
    <w:p w14:paraId="45D7441A" w14:textId="77777777" w:rsidR="008761A5" w:rsidRDefault="00000000">
      <w:pPr>
        <w:pStyle w:val="FirstParagraph"/>
      </w:pPr>
      <w:r>
        <w:t xml:space="preserve">The </w:t>
      </w:r>
      <m:oMath>
        <m:sSubSup>
          <m:sSubSupPr>
            <m:ctrlPr>
              <w:rPr>
                <w:rFonts w:ascii="Cambria Math" w:hAnsi="Cambria Math"/>
              </w:rPr>
            </m:ctrlPr>
          </m:sSubSupPr>
          <m:e>
            <m:r>
              <w:rPr>
                <w:rFonts w:ascii="Cambria Math" w:hAnsi="Cambria Math"/>
              </w:rPr>
              <m:t>s</m:t>
            </m:r>
          </m:e>
          <m:sub>
            <m:r>
              <w:rPr>
                <w:rFonts w:ascii="Cambria Math" w:hAnsi="Cambria Math"/>
              </w:rPr>
              <m:t>f</m:t>
            </m:r>
          </m:sub>
          <m:sup>
            <m:r>
              <w:rPr>
                <w:rFonts w:ascii="Cambria Math" w:hAnsi="Cambria Math"/>
              </w:rPr>
              <m:t>2</m:t>
            </m:r>
          </m:sup>
        </m:sSubSup>
        <m:r>
          <m:rPr>
            <m:sty m:val="p"/>
          </m:rPr>
          <w:rPr>
            <w:rFonts w:ascii="Cambria Math" w:hAnsi="Cambria Math"/>
          </w:rPr>
          <m:t>/</m:t>
        </m:r>
        <m:r>
          <w:rPr>
            <w:rFonts w:ascii="Cambria Math" w:hAnsi="Cambria Math"/>
          </w:rPr>
          <m:t>R</m:t>
        </m:r>
      </m:oMath>
      <w:r>
        <w:t xml:space="preserve"> term of the earlier heritability estimator does not appear, as </w:t>
      </w:r>
      <m:oMath>
        <m:sSub>
          <m:sSubPr>
            <m:ctrlPr>
              <w:rPr>
                <w:rFonts w:ascii="Cambria Math" w:hAnsi="Cambria Math"/>
              </w:rPr>
            </m:ctrlPr>
          </m:sSubPr>
          <m:e>
            <m:bar>
              <m:barPr>
                <m:pos m:val="top"/>
                <m:ctrlPr>
                  <w:rPr>
                    <w:rFonts w:ascii="Cambria Math" w:hAnsi="Cambria Math"/>
                  </w:rPr>
                </m:ctrlPr>
              </m:barPr>
              <m:e>
                <m:r>
                  <w:rPr>
                    <w:rFonts w:ascii="Cambria Math" w:hAnsi="Cambria Math"/>
                  </w:rPr>
                  <m:t>e</m:t>
                </m:r>
              </m:e>
            </m:bar>
          </m:e>
          <m:sub>
            <m:r>
              <w:rPr>
                <w:rFonts w:ascii="Cambria Math" w:hAnsi="Cambria Math"/>
              </w:rPr>
              <m:t>f</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f</m:t>
            </m:r>
            <m:r>
              <m:rPr>
                <m:sty m:val="p"/>
              </m:rPr>
              <w:rPr>
                <w:rFonts w:ascii="Cambria Math" w:hAnsi="Cambria Math"/>
              </w:rPr>
              <m:t>ⓡ</m:t>
            </m:r>
          </m:sub>
        </m:sSub>
      </m:oMath>
      <w:r>
        <w:t xml:space="preserve"> are independent estimates of the same quantity, so their product has expectation </w:t>
      </w:r>
      <m:oMath>
        <m:sSubSup>
          <m:sSubSupPr>
            <m:ctrlPr>
              <w:rPr>
                <w:rFonts w:ascii="Cambria Math" w:hAnsi="Cambria Math"/>
              </w:rPr>
            </m:ctrlPr>
          </m:sSubSupPr>
          <m:e>
            <m:bar>
              <m:barPr>
                <m:pos m:val="top"/>
                <m:ctrlPr>
                  <w:rPr>
                    <w:rFonts w:ascii="Cambria Math" w:hAnsi="Cambria Math"/>
                  </w:rPr>
                </m:ctrlPr>
              </m:barPr>
              <m:e>
                <m:r>
                  <w:rPr>
                    <w:rFonts w:ascii="Cambria Math" w:hAnsi="Cambria Math"/>
                  </w:rPr>
                  <m:t>e</m:t>
                </m:r>
              </m:e>
            </m:bar>
          </m:e>
          <m:sub>
            <m:r>
              <w:rPr>
                <w:rFonts w:ascii="Cambria Math" w:hAnsi="Cambria Math"/>
              </w:rPr>
              <m:t>f</m:t>
            </m:r>
          </m:sub>
          <m:sup>
            <m:r>
              <w:rPr>
                <w:rFonts w:ascii="Cambria Math" w:hAnsi="Cambria Math"/>
              </w:rPr>
              <m:t> 2</m:t>
            </m:r>
          </m:sup>
        </m:sSubSup>
      </m:oMath>
      <w:r>
        <w:t>. Markers in linkage tag the same region and their heritabilities cannot simply be added</w:t>
      </w:r>
      <w:r w:rsidR="008761A5">
        <w:t>.</w:t>
      </w:r>
    </w:p>
    <w:p w14:paraId="229495EE" w14:textId="2E3DC1F3" w:rsidR="007615C1" w:rsidRDefault="008761A5">
      <w:pPr>
        <w:pStyle w:val="FirstParagraph"/>
      </w:pPr>
      <w:r>
        <w:t xml:space="preserve">[now the writing becomes dreadful and impossible to read] … </w:t>
      </w:r>
      <w:r w:rsidR="00000000">
        <w:t xml:space="preserve">the double counting the constant above corrects genome-wide; among the markers of a </w:t>
      </w:r>
      <w:proofErr w:type="gramStart"/>
      <w:r w:rsidR="00000000">
        <w:t>predictor</w:t>
      </w:r>
      <w:proofErr w:type="gramEnd"/>
      <w:r w:rsidR="00000000">
        <w:t xml:space="preserve"> it is removed by inverting their measured correlation, which at a separation of 5 cM changes the sum by at most 5%. Two quantities follow, and they answer different questions</w:t>
      </w:r>
      <w:r>
        <w:t xml:space="preserve"> [get thee to a vomitorium … two quantities follow and they answer different questions, who fucking writes like that]</w:t>
      </w:r>
      <w:r w:rsidR="00000000">
        <w:t xml:space="preserve">. The first is what the predictor explains: the sum of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m:rPr>
                <m:sty m:val="p"/>
              </m:rPr>
              <w:rPr>
                <w:rFonts w:ascii="Cambria Math" w:hAnsi="Cambria Math"/>
              </w:rPr>
              <m:t>ⓡ</m:t>
            </m:r>
          </m:sub>
          <m:sup>
            <m:r>
              <w:rPr>
                <w:rFonts w:ascii="Cambria Math" w:hAnsi="Cambria Math"/>
              </w:rPr>
              <m:t>2</m:t>
            </m:r>
          </m:sup>
        </m:sSubSup>
      </m:oMath>
      <w:r w:rsidR="00000000">
        <w:t xml:space="preserve"> over the </w:t>
      </w:r>
      <m:oMath>
        <m:r>
          <w:rPr>
            <w:rFonts w:ascii="Cambria Math" w:hAnsi="Cambria Math"/>
          </w:rPr>
          <m:t>N</m:t>
        </m:r>
      </m:oMath>
      <w:r w:rsidR="00000000">
        <w:t xml:space="preserve"> markers, squared and divided by the same sum with </w:t>
      </w:r>
      <m:oMath>
        <m:sSub>
          <m:sSubPr>
            <m:ctrlPr>
              <w:rPr>
                <w:rFonts w:ascii="Cambria Math" w:hAnsi="Cambria Math"/>
              </w:rPr>
            </m:ctrlPr>
          </m:sSubPr>
          <m:e>
            <m:r>
              <w:rPr>
                <w:rFonts w:ascii="Cambria Math" w:hAnsi="Cambria Math"/>
              </w:rPr>
              <m:t>e</m:t>
            </m:r>
          </m:e>
          <m:sub>
            <m:r>
              <w:rPr>
                <w:rFonts w:ascii="Cambria Math" w:hAnsi="Cambria Math"/>
              </w:rPr>
              <m:t>f</m:t>
            </m:r>
            <m:r>
              <m:rPr>
                <m:sty m:val="p"/>
              </m:rPr>
              <w:rPr>
                <w:rFonts w:ascii="Cambria Math" w:hAnsi="Cambria Math"/>
              </w:rPr>
              <m:t>ⓡ</m:t>
            </m:r>
          </m:sub>
        </m:sSub>
      </m:oMath>
      <w:r w:rsidR="00000000">
        <w:t xml:space="preserve"> replaced by </w:t>
      </w:r>
      <m:oMath>
        <m:sSub>
          <m:sSubPr>
            <m:ctrlPr>
              <w:rPr>
                <w:rFonts w:ascii="Cambria Math" w:hAnsi="Cambria Math"/>
              </w:rPr>
            </m:ctrlPr>
          </m:sSubPr>
          <m:e>
            <m:bar>
              <m:barPr>
                <m:pos m:val="top"/>
                <m:ctrlPr>
                  <w:rPr>
                    <w:rFonts w:ascii="Cambria Math" w:hAnsi="Cambria Math"/>
                  </w:rPr>
                </m:ctrlPr>
              </m:barPr>
              <m:e>
                <m:r>
                  <w:rPr>
                    <w:rFonts w:ascii="Cambria Math" w:hAnsi="Cambria Math"/>
                  </w:rPr>
                  <m:t>e</m:t>
                </m:r>
              </m:e>
            </m:bar>
          </m:e>
          <m:sub>
            <m:r>
              <w:rPr>
                <w:rFonts w:ascii="Cambria Math" w:hAnsi="Cambria Math"/>
              </w:rPr>
              <m:t>f</m:t>
            </m:r>
          </m:sub>
        </m:sSub>
      </m:oMath>
      <w:r w:rsidR="00000000">
        <w:t xml:space="preserve">, which is the squared covariance between predicted and observed changes over the variance of the predicted </w:t>
      </w:r>
      <w:r w:rsidR="00000000">
        <w:lastRenderedPageBreak/>
        <w:t xml:space="preserve">ones — a predictor’s share of variance, as in any polygenic score. The second is how much heritability the </w:t>
      </w:r>
      <m:oMath>
        <m:r>
          <w:rPr>
            <w:rFonts w:ascii="Cambria Math" w:hAnsi="Cambria Math"/>
          </w:rPr>
          <m:t>N</m:t>
        </m:r>
      </m:oMath>
      <w:r w:rsidR="00000000">
        <w:t xml:space="preserve"> regions hold, whoever estimates their effects. Ranking and effect estimation must then be separated, or a region is credited using the data that selected it: five replicates rank the positions, four others estimate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e</m:t>
                </m:r>
              </m:e>
            </m:bar>
          </m:e>
          <m:sub>
            <m:r>
              <w:rPr>
                <w:rFonts w:ascii="Cambria Math" w:hAnsi="Cambria Math"/>
              </w:rPr>
              <m:t>f</m:t>
            </m:r>
          </m:sub>
        </m:sSub>
      </m:oMath>
      <w:r w:rsidR="00000000">
        <w:t>, and the held-out replicate scores the result, averaged over five random splits of the nine. Without that separation the regions appear to hold about 10% more than they do.</w:t>
      </w:r>
    </w:p>
    <w:p w14:paraId="394882D5" w14:textId="77777777" w:rsidR="007615C1" w:rsidRDefault="00000000">
      <w:pPr>
        <w:pStyle w:val="BodyText"/>
      </w:pPr>
      <w:r>
        <w:rPr>
          <w:i/>
          <w:iCs/>
        </w:rPr>
        <w:t>[Figure legend — REPLACES the current Figure Y legend]</w:t>
      </w:r>
    </w:p>
    <w:p w14:paraId="2DD00823" w14:textId="390A6EC4" w:rsidR="007615C1" w:rsidRDefault="00000000">
      <w:pPr>
        <w:pStyle w:val="BodyText"/>
      </w:pPr>
      <w:r>
        <w:rPr>
          <w:b/>
          <w:bCs/>
        </w:rPr>
        <w:t>Figure Y: Out of sample predictions.</w:t>
      </w:r>
      <w:r>
        <w:t xml:space="preserve"> A, Founder frequency change at the top 10 markers in nine replicates predicts the change in a tenth, held-out replicate. Colors are founder haplotypes as in Figure 2. The dashed line is the line of identity. B, Heritability as a function of the number of markers used</w:t>
      </w:r>
      <w:r w:rsidR="008761A5">
        <w:t xml:space="preserve"> as a</w:t>
      </w:r>
      <w:r>
        <w:t xml:space="preserve"> percent of phenotypic varia</w:t>
      </w:r>
      <w:r w:rsidR="008761A5">
        <w:t>tion</w:t>
      </w:r>
      <w:r>
        <w:t xml:space="preserve">. </w:t>
      </w:r>
      <w:r w:rsidR="008761A5">
        <w:t>The dashed line is the marker-based heritability of the whole genome and the grey band its interquartile range as the footprint width taken from each peak of Table S1 in turn.</w:t>
      </w:r>
      <w:r w:rsidR="008761A5">
        <w:t xml:space="preserve"> The r</w:t>
      </w:r>
      <w:r>
        <w:t>ed</w:t>
      </w:r>
      <w:r w:rsidR="008761A5">
        <w:t xml:space="preserve"> line is</w:t>
      </w:r>
      <w:r>
        <w:t xml:space="preserve"> the heritability the </w:t>
      </w:r>
      <w:r w:rsidR="008761A5">
        <w:t xml:space="preserve">best </w:t>
      </w:r>
      <w:r>
        <w:rPr>
          <w:i/>
          <w:iCs/>
        </w:rPr>
        <w:t>N</w:t>
      </w:r>
      <w:r>
        <w:t xml:space="preserve"> </w:t>
      </w:r>
      <w:r w:rsidR="008761A5">
        <w:t>markers</w:t>
      </w:r>
      <w:r>
        <w:t xml:space="preserve"> </w:t>
      </w:r>
      <w:r w:rsidR="008761A5">
        <w:t>explain. T</w:t>
      </w:r>
      <w:r>
        <w:t xml:space="preserve">he regions </w:t>
      </w:r>
      <w:r w:rsidR="008761A5">
        <w:t xml:space="preserve">are </w:t>
      </w:r>
      <w:r>
        <w:t>chosen in five replicates</w:t>
      </w:r>
      <w:r w:rsidR="008761A5">
        <w:t xml:space="preserve">, </w:t>
      </w:r>
      <w:r>
        <w:t xml:space="preserve">their effects estimated in four </w:t>
      </w:r>
      <w:proofErr w:type="gramStart"/>
      <w:r>
        <w:t>others,</w:t>
      </w:r>
      <w:r w:rsidR="008761A5">
        <w:t xml:space="preserve"> and</w:t>
      </w:r>
      <w:proofErr w:type="gramEnd"/>
      <w:r w:rsidR="008761A5">
        <w:t xml:space="preserve"> used to predict the hold</w:t>
      </w:r>
      <w:r w:rsidR="00F61628">
        <w:t>out</w:t>
      </w:r>
      <w:proofErr w:type="gramStart"/>
      <w:r w:rsidR="00F61628">
        <w:t xml:space="preserve">???? </w:t>
      </w:r>
      <w:r>
        <w:t xml:space="preserve"> .</w:t>
      </w:r>
      <w:proofErr w:type="gramEnd"/>
      <w:r>
        <w:t xml:space="preserve"> </w:t>
      </w:r>
      <w:r w:rsidR="00F61628">
        <w:t>The b</w:t>
      </w:r>
      <w:r>
        <w:t>lu</w:t>
      </w:r>
      <w:r w:rsidR="00F61628">
        <w:t xml:space="preserve">e line is </w:t>
      </w:r>
      <w:r>
        <w:t xml:space="preserve">the heritability an </w:t>
      </w:r>
      <w:r>
        <w:rPr>
          <w:i/>
          <w:iCs/>
        </w:rPr>
        <w:t>N</w:t>
      </w:r>
      <w:r>
        <w:t>-marker predictor built on nine replicates explains in the held-out replicat</w:t>
      </w:r>
      <w:r w:rsidR="00F61628">
        <w:t>es, with</w:t>
      </w:r>
      <w:r>
        <w:t xml:space="preserve"> light</w:t>
      </w:r>
      <w:r w:rsidR="00F61628">
        <w:t>er blue</w:t>
      </w:r>
      <w:r>
        <w:t xml:space="preserve"> lines </w:t>
      </w:r>
      <w:r w:rsidR="00F61628">
        <w:t>each individual replicate.</w:t>
      </w:r>
    </w:p>
    <w:sectPr w:rsidR="007615C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BDC09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978943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615C1"/>
    <w:rsid w:val="00636577"/>
    <w:rsid w:val="007615C1"/>
    <w:rsid w:val="008761A5"/>
    <w:rsid w:val="00AE1A9A"/>
    <w:rsid w:val="00F61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3DC719"/>
  <w15:docId w15:val="{2F24A25D-F4F6-B947-9A7F-64C20FC83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1116</Words>
  <Characters>6098</Characters>
  <Application>Microsoft Office Word</Application>
  <DocSecurity>0</DocSecurity>
  <Lines>75</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Anthony Douglas Long</cp:lastModifiedBy>
  <cp:revision>2</cp:revision>
  <dcterms:created xsi:type="dcterms:W3CDTF">2026-10-22T08:26:00Z</dcterms:created>
  <dcterms:modified xsi:type="dcterms:W3CDTF">2026-10-22T08:48:00Z</dcterms:modified>
</cp:coreProperties>
</file>