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运行控制程序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运行控制程序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文件编号：HSE-PRO-007 | 版本：A/0 | ISO 45001:2018 条款：8.1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为确保公司所有运行活动（生产、检修、仓储、运输、承包商作业等）在受控条件下进行，消除或降低职业健康安全风险，特制定本程序。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运行控制是ISO 45001体系最核心的执行层，所有策划的结果（危险源辨识、法律法规、目标管理方案）最终都要通过运行控制来落实。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本程序适用于公司所有运行活动的控制，包括但不限于：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生产工艺操作（各车间日常生产作业）；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设备检维修作业（计划检修、临时抢修）；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危险作业（动火、高处、受限空间、临时用电、起重吊装）；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化学品采购、储存、使用、废弃；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仓储与物流（原材料入库、成品出库、厂内运输）；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承包商作业（施工、安装、保洁、绿化等）；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采购与供应链（供应商安全资质审查）。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运行控制的策划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基于危险源辨识与风险评估结果，确定需要控制的运行活动清单；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对每项需要控制的运行活动，制定：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操作规程（SOP）或作业指导书；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安全控制措施（工程控制、管理控制、PPE要求）；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作业人员资质要求；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应急处置措施；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运行控制策划结果记录在《运行控制策划表》中，经EHS部门审核后实施。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作业许可制度（PTW）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以下危险作业须执行作业许可制度（PTW = Permit to Work），未经批准不得作业：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动火作业（焊接、切割、打磨等产生火花的作业）；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高处作业（坠落高度≥2米）；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受限空间作业（罐、塔、井下等通风不良空间）；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临时用电作业；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起重吊装作业；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破土作业（挖掘深度≥1.2米）；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作业许可申请流程：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① 作业负责人填写《作业许可证》；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② 进行JSA分析，制定安全措施；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③ EHS部门现场核查措施落实情况；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④ EHS负责人批准许可证（有效期通常不超过24小时）；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⑤ 作业完成后，许可证关闭并存档（保存期1年）。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设备检维修安全控制（LOTO）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设备检维修须执行上锁挂牌（LOTO = Lockout/Tagout）程序；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LOTO步骤：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① 通知所有受影响的操作人员；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② 关闭设备电源/能量源；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③ 上锁（每人一把锁，钥匙由本人保管）；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④ 挂牌（"禁止操作，有人工作"）；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⑤ 释放残余能量（降压、排液）；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⑥ 测试确认（尝试启动，确认已完全隔离）；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⑦ 作业完成后，逐一解锁（谁上的锁谁解除）；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"二人确认制"：解锁前须双人确认，防止误操作。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化学品安全管理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所有化学品须有安全数据表（SDS/MSDS），且须为当地官方语言（东南亚工厂须有英文或当地语言版本，中文SDS不被当地检查官认可）；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化学品储存须符合：分类存放（酸碱分开、氧化剂与还原剂分开）、通风良好、防泄漏设施（围堰/防漏托盘）、标识清晰；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使用化学品的员工须接受专门培训（SDS阅读、PPE使用、应急处理）；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废弃化学品须交由有资质的单位处理，不得混入普通工业废物。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变更管理（MOC）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以下变更须执行变更管理（MOC = Management of Change）程序：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工艺变更（原料、配方、反应条件变更）；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设备变更（新设备、设备改造）；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人员变更（关键岗位人员调整）；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法规变更（新的安全健康法规发布）；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MOC流程：变更申请 → 风险评估 → 审批 → 实施 → 培训 → 验证；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"……之后才发现……"是变更管理失效的典型表现，所有变更须"先评估，后实施"。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HSE-PRO-001 《危险源辨识与风险评估程序》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HSE-PRO-008 《变更管理程序》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HSE-PRO-009 《承包商安全管理程序》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HSE-PRO-010 《应急准备与响应程序》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《作业许可证（PTW）》（表格编号：HSE-FM-070）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《上锁挂牌（LOTO）记录表》（表格编号：HSE-FM-071）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8.1。作业许可（PTW）和变更管理（MOC）是审核时的高频不符合项，须重点落实。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