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60" w:lineRule="auto"/>
      </w:pPr>
      <w:r>
        <w:rPr>
          <w:rFonts w:ascii="宋体" w:hAnsi="宋体" w:eastAsia="宋体"/>
          <w:sz w:val="22"/>
        </w:rPr>
        <w:t>程序文件模板 - 变更管理程序      [公司名称] 安全管理体系程序文件</w:t>
      </w:r>
    </w:p>
    <w:p>
      <w:pPr>
        <w:spacing w:after="120" w:line="360" w:lineRule="auto"/>
      </w:pPr>
      <w:r>
        <w:rPr>
          <w:rFonts w:ascii="宋体" w:hAnsi="宋体" w:eastAsia="宋体"/>
          <w:sz w:val="22"/>
        </w:rPr>
        <w:t>变更管理程序</w:t>
      </w:r>
    </w:p>
    <w:p>
      <w:pPr>
        <w:spacing w:after="120" w:line="360" w:lineRule="auto"/>
      </w:pPr>
      <w:r>
        <w:rPr>
          <w:rFonts w:ascii="宋体" w:hAnsi="宋体" w:eastAsia="宋体"/>
          <w:sz w:val="22"/>
        </w:rPr>
        <w:t>文件编号：HSE-PRO-008 | 版本：A/0 | ISO 45001:2018 条款：8.1.3</w:t>
      </w:r>
    </w:p>
    <w:tbl>
      <w:tblPr>
        <w:tblStyle w:val="TableGrid"/>
        <w:tblW w:type="auto" w:w="0"/>
        <w:jc w:val="center"/>
        <w:tblLook w:firstColumn="1" w:firstRow="1" w:lastColumn="0" w:lastRow="0" w:noHBand="0" w:noVBand="1" w:val="04A0"/>
      </w:tblPr>
      <w:tblGrid>
        <w:gridCol w:w="9406"/>
      </w:tblGrid>
      <w:tr>
        <w:tc>
          <w:tcPr>
            <w:tcW w:type="dxa" w:w="2268"/>
          </w:tcPr>
          <w:p>
            <w:r>
              <w:rPr>
                <w:rFonts w:ascii="宋体" w:hAnsi="宋体" w:eastAsia="宋体"/>
                <w:sz w:val="20"/>
              </w:rPr>
            </w:r>
          </w:p>
        </w:tc>
      </w:tr>
      <w:tr>
        <w:tc>
          <w:tcPr>
            <w:tcW w:type="dxa" w:w="2268"/>
          </w:tcPr>
          <w:p>
            <w:r>
              <w:rPr>
                <w:rFonts w:ascii="宋体" w:hAnsi="宋体" w:eastAsia="宋体"/>
                <w:sz w:val="20"/>
              </w:rPr>
            </w:r>
          </w:p>
        </w:tc>
      </w:tr>
      <w:tr>
        <w:tc>
          <w:tcPr>
            <w:tcW w:type="dxa" w:w="2268"/>
          </w:tcPr>
          <w:p>
            <w:r>
              <w:rPr>
                <w:rFonts w:ascii="宋体" w:hAnsi="宋体" w:eastAsia="宋体"/>
                <w:sz w:val="20"/>
              </w:rPr>
            </w:r>
          </w:p>
        </w:tc>
      </w:tr>
      <w:tr>
        <w:tc>
          <w:tcPr>
            <w:tcW w:type="dxa" w:w="2268"/>
          </w:tcPr>
          <w:p>
            <w:r>
              <w:rPr>
                <w:rFonts w:ascii="宋体" w:hAnsi="宋体" w:eastAsia="宋体"/>
                <w:sz w:val="20"/>
              </w:rPr>
            </w:r>
          </w:p>
        </w:tc>
      </w:tr>
      <w:tr>
        <w:tc>
          <w:tcPr>
            <w:tcW w:type="dxa" w:w="2268"/>
          </w:tcPr>
          <w:p>
            <w:r>
              <w:rPr>
                <w:rFonts w:ascii="宋体" w:hAnsi="宋体" w:eastAsia="宋体"/>
                <w:sz w:val="20"/>
              </w:rPr>
            </w:r>
          </w:p>
        </w:tc>
      </w:tr>
      <w:tr>
        <w:tc>
          <w:tcPr>
            <w:tcW w:type="dxa" w:w="2268"/>
          </w:tcPr>
          <w:p>
            <w:r>
              <w:rPr>
                <w:rFonts w:ascii="宋体" w:hAnsi="宋体" w:eastAsia="宋体"/>
                <w:sz w:val="20"/>
              </w:rPr>
            </w:r>
          </w:p>
        </w:tc>
      </w:tr>
    </w:tbl>
    <w:p>
      <w:pPr>
        <w:spacing w:after="120" w:line="360" w:lineRule="auto"/>
      </w:pPr>
      <w:r>
        <w:rPr>
          <w:rFonts w:ascii="宋体" w:hAnsi="宋体" w:eastAsia="宋体"/>
          <w:sz w:val="22"/>
        </w:rPr>
        <w:t>为建立并维持系统化的变更管理（MOC = Management of Change）机制，确保所有可能导致职业健康安全风险变化的变更在实施前得到充分的风险评估和控制措施策划，防止因变更引发的事故，特制定本程序。</w:t>
      </w:r>
    </w:p>
    <w:p>
      <w:pPr>
        <w:spacing w:after="120" w:line="360" w:lineRule="auto"/>
      </w:pPr>
      <w:r>
        <w:rPr>
          <w:rFonts w:ascii="宋体" w:hAnsi="宋体" w:eastAsia="宋体"/>
          <w:sz w:val="22"/>
        </w:rPr>
        <w:t>事故统计显示：约40%的工业事故与变更管理失效有关——"改了但没评估风险"是最常见的原因。</w:t>
      </w:r>
    </w:p>
    <w:p>
      <w:pPr>
        <w:spacing w:after="120" w:line="360" w:lineRule="auto"/>
      </w:pPr>
      <w:r>
        <w:rPr>
          <w:rFonts w:ascii="宋体" w:hAnsi="宋体" w:eastAsia="宋体"/>
          <w:sz w:val="22"/>
        </w:rPr>
        <w:t>2.适用范围</w:t>
      </w:r>
    </w:p>
    <w:p>
      <w:pPr>
        <w:spacing w:after="120" w:line="360" w:lineRule="auto"/>
      </w:pPr>
      <w:r>
        <w:rPr>
          <w:rFonts w:ascii="宋体" w:hAnsi="宋体" w:eastAsia="宋体"/>
          <w:sz w:val="22"/>
        </w:rPr>
        <w:t>本程序适用于公司内所有可能引起安全健康风险变化的变更，包括：</w:t>
      </w:r>
    </w:p>
    <w:p>
      <w:pPr>
        <w:spacing w:after="120" w:line="360" w:lineRule="auto"/>
      </w:pPr>
      <w:r>
        <w:rPr>
          <w:rFonts w:ascii="宋体" w:hAnsi="宋体" w:eastAsia="宋体"/>
          <w:sz w:val="22"/>
        </w:rPr>
        <w:t>• 工艺变更：原材料变更、产品配方变更、工艺参数（温度、压力、流量）变更；</w:t>
      </w:r>
    </w:p>
    <w:p>
      <w:pPr>
        <w:spacing w:after="120" w:line="360" w:lineRule="auto"/>
      </w:pPr>
      <w:r>
        <w:rPr>
          <w:rFonts w:ascii="宋体" w:hAnsi="宋体" w:eastAsia="宋体"/>
          <w:sz w:val="22"/>
        </w:rPr>
        <w:t>• 设备变更：新设备引入、设备改造/移位、安全装置调整或拆除；</w:t>
      </w:r>
    </w:p>
    <w:p>
      <w:pPr>
        <w:spacing w:after="120" w:line="360" w:lineRule="auto"/>
      </w:pPr>
      <w:r>
        <w:rPr>
          <w:rFonts w:ascii="宋体" w:hAnsi="宋体" w:eastAsia="宋体"/>
          <w:sz w:val="22"/>
        </w:rPr>
        <w:t>• 人员变更：关键安全岗位人员调整（安全经理、EHS工程师、关键工艺操作员）；</w:t>
      </w:r>
    </w:p>
    <w:p>
      <w:pPr>
        <w:spacing w:after="120" w:line="360" w:lineRule="auto"/>
      </w:pPr>
      <w:r>
        <w:rPr>
          <w:rFonts w:ascii="宋体" w:hAnsi="宋体" w:eastAsia="宋体"/>
          <w:sz w:val="22"/>
        </w:rPr>
        <w:t>• 组织结构变更：部门合并/拆分、职责调整、外包范围变化；</w:t>
      </w:r>
    </w:p>
    <w:p>
      <w:pPr>
        <w:spacing w:after="120" w:line="360" w:lineRule="auto"/>
      </w:pPr>
      <w:r>
        <w:rPr>
          <w:rFonts w:ascii="宋体" w:hAnsi="宋体" w:eastAsia="宋体"/>
          <w:sz w:val="22"/>
        </w:rPr>
        <w:t>• 法规标准变更：适用的安全健康法律法规或ISO标准发生修订；</w:t>
      </w:r>
    </w:p>
    <w:p>
      <w:pPr>
        <w:spacing w:after="120" w:line="360" w:lineRule="auto"/>
      </w:pPr>
      <w:r>
        <w:rPr>
          <w:rFonts w:ascii="宋体" w:hAnsi="宋体" w:eastAsia="宋体"/>
          <w:sz w:val="22"/>
        </w:rPr>
        <w:t>• 外部变更：厂区周边环境变化（如新居民区、新工厂毗邻）。</w:t>
      </w:r>
    </w:p>
    <w:tbl>
      <w:tblPr>
        <w:tblStyle w:val="TableGrid"/>
        <w:tblW w:type="auto" w:w="0"/>
        <w:jc w:val="center"/>
        <w:tblLook w:firstColumn="1" w:firstRow="1" w:lastColumn="0" w:lastRow="0" w:noHBand="0" w:noVBand="1" w:val="04A0"/>
      </w:tblPr>
      <w:tblGrid>
        <w:gridCol w:w="9406"/>
      </w:tblGrid>
      <w:tr>
        <w:tc>
          <w:tcPr>
            <w:tcW w:type="dxa" w:w="2268"/>
          </w:tcPr>
          <w:p>
            <w:r>
              <w:rPr>
                <w:rFonts w:ascii="宋体" w:hAnsi="宋体" w:eastAsia="宋体"/>
                <w:b/>
                <w:sz w:val="20"/>
              </w:rPr>
            </w:r>
          </w:p>
        </w:tc>
      </w:tr>
      <w:tr>
        <w:tc>
          <w:tcPr>
            <w:tcW w:type="dxa" w:w="2268"/>
          </w:tcPr>
          <w:p>
            <w:r>
              <w:rPr>
                <w:rFonts w:ascii="宋体" w:hAnsi="宋体" w:eastAsia="宋体"/>
                <w:sz w:val="20"/>
              </w:rPr>
            </w:r>
          </w:p>
        </w:tc>
      </w:tr>
      <w:tr>
        <w:tc>
          <w:tcPr>
            <w:tcW w:type="dxa" w:w="2268"/>
          </w:tcPr>
          <w:p>
            <w:r>
              <w:rPr>
                <w:rFonts w:ascii="宋体" w:hAnsi="宋体" w:eastAsia="宋体"/>
                <w:sz w:val="20"/>
              </w:rPr>
            </w:r>
          </w:p>
        </w:tc>
      </w:tr>
      <w:tr>
        <w:tc>
          <w:tcPr>
            <w:tcW w:type="dxa" w:w="2268"/>
          </w:tcPr>
          <w:p>
            <w:r>
              <w:rPr>
                <w:rFonts w:ascii="宋体" w:hAnsi="宋体" w:eastAsia="宋体"/>
                <w:sz w:val="20"/>
              </w:rPr>
            </w:r>
          </w:p>
        </w:tc>
      </w:tr>
      <w:tr>
        <w:tc>
          <w:tcPr>
            <w:tcW w:type="dxa" w:w="2268"/>
          </w:tcPr>
          <w:p>
            <w:r>
              <w:rPr>
                <w:rFonts w:ascii="宋体" w:hAnsi="宋体" w:eastAsia="宋体"/>
                <w:sz w:val="20"/>
              </w:rPr>
            </w:r>
          </w:p>
        </w:tc>
      </w:tr>
    </w:tbl>
    <w:p>
      <w:pPr>
        <w:spacing w:after="120" w:line="360" w:lineRule="auto"/>
      </w:pPr>
      <w:r>
        <w:rPr>
          <w:rFonts w:ascii="宋体" w:hAnsi="宋体" w:eastAsia="宋体"/>
          <w:sz w:val="22"/>
        </w:rPr>
        <w:t>4.工作程序</w:t>
      </w:r>
    </w:p>
    <w:p>
      <w:pPr>
        <w:spacing w:after="120" w:line="360" w:lineRule="auto"/>
      </w:pPr>
      <w:r>
        <w:rPr>
          <w:rFonts w:ascii="宋体" w:hAnsi="宋体" w:eastAsia="宋体"/>
          <w:sz w:val="22"/>
        </w:rPr>
        <w:t>4.1 变更识别与申请</w:t>
      </w:r>
    </w:p>
    <w:p>
      <w:pPr>
        <w:spacing w:after="120" w:line="360" w:lineRule="auto"/>
      </w:pPr>
      <w:r>
        <w:rPr>
          <w:rFonts w:ascii="宋体" w:hAnsi="宋体" w:eastAsia="宋体"/>
          <w:sz w:val="22"/>
        </w:rPr>
        <w:t>a) 任何部门计划实施本程序适用范围内的变更前，须首先识别是否需要执行MOC；</w:t>
      </w:r>
    </w:p>
    <w:p>
      <w:pPr>
        <w:spacing w:after="120" w:line="360" w:lineRule="auto"/>
      </w:pPr>
      <w:r>
        <w:rPr>
          <w:rFonts w:ascii="宋体" w:hAnsi="宋体" w:eastAsia="宋体"/>
          <w:sz w:val="22"/>
        </w:rPr>
        <w:t>b) 变更提出人填写《变更管理（MOC）申请表》，说明：变更原因、变更内容、预计实施时间、可能涉及的风险；</w:t>
      </w:r>
    </w:p>
    <w:p>
      <w:pPr>
        <w:spacing w:after="120" w:line="360" w:lineRule="auto"/>
      </w:pPr>
      <w:r>
        <w:rPr>
          <w:rFonts w:ascii="宋体" w:hAnsi="宋体" w:eastAsia="宋体"/>
          <w:sz w:val="22"/>
        </w:rPr>
        <w:t>c) "微小变更"（如更换同型号设备、不涉及工艺参数调整）可申请简化MOC流程，由部门负责人批准即可，但须报EHS备案。</w:t>
      </w:r>
    </w:p>
    <w:p>
      <w:pPr>
        <w:spacing w:after="120" w:line="360" w:lineRule="auto"/>
      </w:pPr>
      <w:r>
        <w:rPr>
          <w:rFonts w:ascii="宋体" w:hAnsi="宋体" w:eastAsia="宋体"/>
          <w:sz w:val="22"/>
        </w:rPr>
        <w:t>4.2 变更风险评估</w:t>
      </w:r>
    </w:p>
    <w:p>
      <w:pPr>
        <w:spacing w:after="120" w:line="360" w:lineRule="auto"/>
      </w:pPr>
      <w:r>
        <w:rPr>
          <w:rFonts w:ascii="宋体" w:hAnsi="宋体" w:eastAsia="宋体"/>
          <w:sz w:val="22"/>
        </w:rPr>
        <w:t>a) EHS部门接到MOC申请后，最迟5个工作日内组织风险评估；</w:t>
      </w:r>
    </w:p>
    <w:p>
      <w:pPr>
        <w:spacing w:after="120" w:line="360" w:lineRule="auto"/>
      </w:pPr>
      <w:r>
        <w:rPr>
          <w:rFonts w:ascii="宋体" w:hAnsi="宋体" w:eastAsia="宋体"/>
          <w:sz w:val="22"/>
        </w:rPr>
        <w:t>b) 根据变更类型选择评估方法：</w:t>
      </w:r>
    </w:p>
    <w:p>
      <w:pPr>
        <w:spacing w:after="120" w:line="360" w:lineRule="auto"/>
      </w:pPr>
      <w:r>
        <w:rPr>
          <w:rFonts w:ascii="宋体" w:hAnsi="宋体" w:eastAsia="宋体"/>
          <w:sz w:val="22"/>
        </w:rPr>
        <w:t>• 工艺变更：HAZOP分析（危险与可操作性分析）；</w:t>
      </w:r>
    </w:p>
    <w:p>
      <w:pPr>
        <w:spacing w:after="120" w:line="360" w:lineRule="auto"/>
      </w:pPr>
      <w:r>
        <w:rPr>
          <w:rFonts w:ascii="宋体" w:hAnsi="宋体" w:eastAsia="宋体"/>
          <w:sz w:val="22"/>
        </w:rPr>
        <w:t>• 设备/作业变更：JSA分析（工作安全分析）；</w:t>
      </w:r>
    </w:p>
    <w:p>
      <w:pPr>
        <w:spacing w:after="120" w:line="360" w:lineRule="auto"/>
      </w:pPr>
      <w:r>
        <w:rPr>
          <w:rFonts w:ascii="宋体" w:hAnsi="宋体" w:eastAsia="宋体"/>
          <w:sz w:val="22"/>
        </w:rPr>
        <w:t>• 人员/组织变更：影响分析（对现有安全职责的影响）；</w:t>
      </w:r>
    </w:p>
    <w:p>
      <w:pPr>
        <w:spacing w:after="120" w:line="360" w:lineRule="auto"/>
      </w:pPr>
      <w:r>
        <w:rPr>
          <w:rFonts w:ascii="宋体" w:hAnsi="宋体" w:eastAsia="宋体"/>
          <w:sz w:val="22"/>
        </w:rPr>
        <w:t>c) 风险评估须识别：变更可能引入的新危险源、现有控制措施是否仍然有效、变更后是否需要新增控制措施；</w:t>
      </w:r>
    </w:p>
    <w:p>
      <w:pPr>
        <w:spacing w:after="120" w:line="360" w:lineRule="auto"/>
      </w:pPr>
      <w:r>
        <w:rPr>
          <w:rFonts w:ascii="宋体" w:hAnsi="宋体" w:eastAsia="宋体"/>
          <w:sz w:val="22"/>
        </w:rPr>
        <w:t>d) 评估结果记录在《MOC风险评估记录表》，风险等级为"高"或"极高"的变更，须制定专项控制方案后方可实施。</w:t>
      </w:r>
    </w:p>
    <w:p>
      <w:pPr>
        <w:spacing w:after="120" w:line="360" w:lineRule="auto"/>
      </w:pPr>
      <w:r>
        <w:rPr>
          <w:rFonts w:ascii="宋体" w:hAnsi="宋体" w:eastAsia="宋体"/>
          <w:sz w:val="22"/>
        </w:rPr>
        <w:t>4.3 变更审批</w:t>
      </w:r>
    </w:p>
    <w:p>
      <w:pPr>
        <w:spacing w:after="120" w:line="360" w:lineRule="auto"/>
      </w:pPr>
      <w:r>
        <w:rPr>
          <w:rFonts w:ascii="宋体" w:hAnsi="宋体" w:eastAsia="宋体"/>
          <w:sz w:val="22"/>
        </w:rPr>
        <w:t>a) 根据风险等级和变更性质，按以下权限审批：</w:t>
      </w:r>
    </w:p>
    <w:p>
      <w:pPr>
        <w:spacing w:after="120" w:line="360" w:lineRule="auto"/>
      </w:pPr>
      <w:r>
        <w:rPr>
          <w:rFonts w:ascii="宋体" w:hAnsi="宋体" w:eastAsia="宋体"/>
          <w:sz w:val="22"/>
        </w:rPr>
        <w:t>• 低风险变更：部门负责人批准，EHS备案；</w:t>
      </w:r>
    </w:p>
    <w:p>
      <w:pPr>
        <w:spacing w:after="120" w:line="360" w:lineRule="auto"/>
      </w:pPr>
      <w:r>
        <w:rPr>
          <w:rFonts w:ascii="宋体" w:hAnsi="宋体" w:eastAsia="宋体"/>
          <w:sz w:val="22"/>
        </w:rPr>
        <w:t>• 中等风险变更：EHS经理审核，安全总监批准；</w:t>
      </w:r>
    </w:p>
    <w:p>
      <w:pPr>
        <w:spacing w:after="120" w:line="360" w:lineRule="auto"/>
      </w:pPr>
      <w:r>
        <w:rPr>
          <w:rFonts w:ascii="宋体" w:hAnsi="宋体" w:eastAsia="宋体"/>
          <w:sz w:val="22"/>
        </w:rPr>
        <w:t>• 高风险/极高变更：安全总监审核，总经理批准；</w:t>
      </w:r>
    </w:p>
    <w:p>
      <w:pPr>
        <w:spacing w:after="120" w:line="360" w:lineRule="auto"/>
      </w:pPr>
      <w:r>
        <w:rPr>
          <w:rFonts w:ascii="宋体" w:hAnsi="宋体" w:eastAsia="宋体"/>
          <w:sz w:val="22"/>
        </w:rPr>
        <w:t>b) 未经批准，变更不得实施——这是MOC的核心原则；</w:t>
      </w:r>
    </w:p>
    <w:p>
      <w:pPr>
        <w:spacing w:after="120" w:line="360" w:lineRule="auto"/>
      </w:pPr>
      <w:r>
        <w:rPr>
          <w:rFonts w:ascii="宋体" w:hAnsi="宋体" w:eastAsia="宋体"/>
          <w:sz w:val="22"/>
        </w:rPr>
        <w:t>c) 审批不通过的，须书面说明理由，变更提出部门可申请复议（补充风险控制措施后重新提交）。</w:t>
      </w:r>
    </w:p>
    <w:p>
      <w:pPr>
        <w:spacing w:after="120" w:line="360" w:lineRule="auto"/>
      </w:pPr>
      <w:r>
        <w:rPr>
          <w:rFonts w:ascii="宋体" w:hAnsi="宋体" w:eastAsia="宋体"/>
          <w:sz w:val="22"/>
        </w:rPr>
        <w:t>4.4 变更实施与培训</w:t>
      </w:r>
    </w:p>
    <w:p>
      <w:pPr>
        <w:spacing w:after="120" w:line="360" w:lineRule="auto"/>
      </w:pPr>
      <w:r>
        <w:rPr>
          <w:rFonts w:ascii="宋体" w:hAnsi="宋体" w:eastAsia="宋体"/>
          <w:sz w:val="22"/>
        </w:rPr>
        <w:t>a) 变更批准后，变更提出部门组织实施，EHS部门现场监督；</w:t>
      </w:r>
    </w:p>
    <w:p>
      <w:pPr>
        <w:spacing w:after="120" w:line="360" w:lineRule="auto"/>
      </w:pPr>
      <w:r>
        <w:rPr>
          <w:rFonts w:ascii="宋体" w:hAnsi="宋体" w:eastAsia="宋体"/>
          <w:sz w:val="22"/>
        </w:rPr>
        <w:t>b) 变更实施前须完成相关培训：</w:t>
      </w:r>
    </w:p>
    <w:p>
      <w:pPr>
        <w:spacing w:after="120" w:line="360" w:lineRule="auto"/>
      </w:pPr>
      <w:r>
        <w:rPr>
          <w:rFonts w:ascii="宋体" w:hAnsi="宋体" w:eastAsia="宋体"/>
          <w:sz w:val="22"/>
        </w:rPr>
        <w:t>• 新工艺/新设备：操作人员须接受专项培训并考核合格；</w:t>
      </w:r>
    </w:p>
    <w:p>
      <w:pPr>
        <w:spacing w:after="120" w:line="360" w:lineRule="auto"/>
      </w:pPr>
      <w:r>
        <w:rPr>
          <w:rFonts w:ascii="宋体" w:hAnsi="宋体" w:eastAsia="宋体"/>
          <w:sz w:val="22"/>
        </w:rPr>
        <w:t>• 人员变更：接任者须接受岗位安全培训，并通过能力验证；</w:t>
      </w:r>
    </w:p>
    <w:p>
      <w:pPr>
        <w:spacing w:after="120" w:line="360" w:lineRule="auto"/>
      </w:pPr>
      <w:r>
        <w:rPr>
          <w:rFonts w:ascii="宋体" w:hAnsi="宋体" w:eastAsia="宋体"/>
          <w:sz w:val="22"/>
        </w:rPr>
        <w:t>• 操作规程须同步更新（参见HSE-PRO-006《文件与记录控制程序》）；</w:t>
      </w:r>
    </w:p>
    <w:p>
      <w:pPr>
        <w:spacing w:after="120" w:line="360" w:lineRule="auto"/>
      </w:pPr>
      <w:r>
        <w:rPr>
          <w:rFonts w:ascii="宋体" w:hAnsi="宋体" w:eastAsia="宋体"/>
          <w:sz w:val="22"/>
        </w:rPr>
        <w:t>c) 变更实施过程中，如发现新风险，须立即暂停，重新评估。</w:t>
      </w:r>
    </w:p>
    <w:p>
      <w:pPr>
        <w:spacing w:after="120" w:line="360" w:lineRule="auto"/>
      </w:pPr>
      <w:r>
        <w:rPr>
          <w:rFonts w:ascii="宋体" w:hAnsi="宋体" w:eastAsia="宋体"/>
          <w:sz w:val="22"/>
        </w:rPr>
        <w:t>4.5 变更验证与关闭</w:t>
      </w:r>
    </w:p>
    <w:p>
      <w:pPr>
        <w:spacing w:after="120" w:line="360" w:lineRule="auto"/>
      </w:pPr>
      <w:r>
        <w:rPr>
          <w:rFonts w:ascii="宋体" w:hAnsi="宋体" w:eastAsia="宋体"/>
          <w:sz w:val="22"/>
        </w:rPr>
        <w:t>a) 变更实施完成后7个工作日内，EHS部门组织变更验证；</w:t>
      </w:r>
    </w:p>
    <w:p>
      <w:pPr>
        <w:spacing w:after="120" w:line="360" w:lineRule="auto"/>
      </w:pPr>
      <w:r>
        <w:rPr>
          <w:rFonts w:ascii="宋体" w:hAnsi="宋体" w:eastAsia="宋体"/>
          <w:sz w:val="22"/>
        </w:rPr>
        <w:t>b) 验证内容：变更是否按批准方案实施、风险控制措施是否落实、培训是否完成、操作规程是否已更新；</w:t>
      </w:r>
    </w:p>
    <w:p>
      <w:pPr>
        <w:spacing w:after="120" w:line="360" w:lineRule="auto"/>
      </w:pPr>
      <w:r>
        <w:rPr>
          <w:rFonts w:ascii="宋体" w:hAnsi="宋体" w:eastAsia="宋体"/>
          <w:sz w:val="22"/>
        </w:rPr>
        <w:t>c) 验证通过后，《MOC申请表》标记为"已关闭"，所有记录存档；</w:t>
      </w:r>
    </w:p>
    <w:p>
      <w:pPr>
        <w:spacing w:after="120" w:line="360" w:lineRule="auto"/>
      </w:pPr>
      <w:r>
        <w:rPr>
          <w:rFonts w:ascii="宋体" w:hAnsi="宋体" w:eastAsia="宋体"/>
          <w:sz w:val="22"/>
        </w:rPr>
        <w:t>d) 验证不通过的，须制定纠正措施，重新验证直至通过。</w:t>
      </w:r>
    </w:p>
    <w:p>
      <w:pPr>
        <w:spacing w:after="120" w:line="360" w:lineRule="auto"/>
      </w:pPr>
      <w:r>
        <w:rPr>
          <w:rFonts w:ascii="宋体" w:hAnsi="宋体" w:eastAsia="宋体"/>
          <w:sz w:val="22"/>
        </w:rPr>
        <w:t>4.6 临时变更的管理</w:t>
      </w:r>
    </w:p>
    <w:p>
      <w:pPr>
        <w:spacing w:after="120" w:line="360" w:lineRule="auto"/>
      </w:pPr>
      <w:r>
        <w:rPr>
          <w:rFonts w:ascii="宋体" w:hAnsi="宋体" w:eastAsia="宋体"/>
          <w:sz w:val="22"/>
        </w:rPr>
        <w:t>a) 临时变更（如设备抢修时的临时接管、临时工艺调整）也须执行MOC，但可简化流程；</w:t>
      </w:r>
    </w:p>
    <w:p>
      <w:pPr>
        <w:spacing w:after="120" w:line="360" w:lineRule="auto"/>
      </w:pPr>
      <w:r>
        <w:rPr>
          <w:rFonts w:ascii="宋体" w:hAnsi="宋体" w:eastAsia="宋体"/>
          <w:sz w:val="22"/>
        </w:rPr>
        <w:t>b) 临时变更须明确恢复期限（通常不超过30天），期满须恢复原状并验证；</w:t>
      </w:r>
    </w:p>
    <w:p>
      <w:pPr>
        <w:spacing w:after="120" w:line="360" w:lineRule="auto"/>
      </w:pPr>
      <w:r>
        <w:rPr>
          <w:rFonts w:ascii="宋体" w:hAnsi="宋体" w:eastAsia="宋体"/>
          <w:sz w:val="22"/>
        </w:rPr>
        <w:t>c) 临时变更期间，须加强巡查频次（每天至少一次）。</w:t>
      </w:r>
    </w:p>
    <w:p>
      <w:pPr>
        <w:spacing w:after="120" w:line="360" w:lineRule="auto"/>
      </w:pPr>
      <w:r>
        <w:rPr>
          <w:rFonts w:ascii="宋体" w:hAnsi="宋体" w:eastAsia="宋体"/>
          <w:sz w:val="22"/>
        </w:rPr>
        <w:t>5. 相关文件</w:t>
      </w:r>
    </w:p>
    <w:p>
      <w:pPr>
        <w:spacing w:after="120" w:line="360" w:lineRule="auto"/>
      </w:pPr>
      <w:r>
        <w:rPr>
          <w:rFonts w:ascii="宋体" w:hAnsi="宋体" w:eastAsia="宋体"/>
          <w:sz w:val="22"/>
        </w:rPr>
        <w:t>• HSE-PRO-001 《危险源辨识与风险评估程序》</w:t>
      </w:r>
    </w:p>
    <w:p>
      <w:pPr>
        <w:spacing w:after="120" w:line="360" w:lineRule="auto"/>
      </w:pPr>
      <w:r>
        <w:rPr>
          <w:rFonts w:ascii="宋体" w:hAnsi="宋体" w:eastAsia="宋体"/>
          <w:sz w:val="22"/>
        </w:rPr>
        <w:t>• HSE-PRO-006 《文件与记录控制程序》</w:t>
      </w:r>
    </w:p>
    <w:p>
      <w:pPr>
        <w:spacing w:after="120" w:line="360" w:lineRule="auto"/>
      </w:pPr>
      <w:r>
        <w:rPr>
          <w:rFonts w:ascii="宋体" w:hAnsi="宋体" w:eastAsia="宋体"/>
          <w:sz w:val="22"/>
        </w:rPr>
        <w:t>• HSE-PRO-007 《运行控制程序》</w:t>
      </w:r>
    </w:p>
    <w:p>
      <w:pPr>
        <w:spacing w:after="120" w:line="360" w:lineRule="auto"/>
      </w:pPr>
      <w:r>
        <w:rPr>
          <w:rFonts w:ascii="宋体" w:hAnsi="宋体" w:eastAsia="宋体"/>
          <w:sz w:val="22"/>
        </w:rPr>
        <w:t>• 《变更管理（MOC）申请表》（表格编号：HSE-FM-080）</w:t>
      </w:r>
    </w:p>
    <w:p>
      <w:pPr>
        <w:spacing w:after="120" w:line="360" w:lineRule="auto"/>
      </w:pPr>
      <w:r>
        <w:rPr>
          <w:rFonts w:ascii="宋体" w:hAnsi="宋体" w:eastAsia="宋体"/>
          <w:sz w:val="22"/>
        </w:rPr>
        <w:t>• 《MOC风险评估记录表》（表格编号：HSE-FM-081）</w:t>
      </w:r>
    </w:p>
    <w:p>
      <w:pPr>
        <w:spacing w:after="120" w:line="360" w:lineRule="auto"/>
      </w:pPr>
      <w:r>
        <w:rPr>
          <w:rFonts w:ascii="宋体" w:hAnsi="宋体" w:eastAsia="宋体"/>
          <w:sz w:val="22"/>
        </w:rPr>
        <w:t>6.记录表单</w:t>
      </w:r>
    </w:p>
    <w:tbl>
      <w:tblPr>
        <w:tblStyle w:val="TableGrid"/>
        <w:tblW w:type="auto" w:w="0"/>
        <w:jc w:val="center"/>
        <w:tblLook w:firstColumn="1" w:firstRow="1" w:lastColumn="0" w:lastRow="0" w:noHBand="0" w:noVBand="1" w:val="04A0"/>
      </w:tblPr>
      <w:tblGrid>
        <w:gridCol w:w="9406"/>
      </w:tblGrid>
      <w:tr>
        <w:tc>
          <w:tcPr>
            <w:tcW w:type="dxa" w:w="2268"/>
          </w:tcPr>
          <w:p>
            <w:r>
              <w:rPr>
                <w:rFonts w:ascii="宋体" w:hAnsi="宋体" w:eastAsia="宋体"/>
                <w:b/>
                <w:sz w:val="20"/>
              </w:rPr>
            </w:r>
          </w:p>
        </w:tc>
      </w:tr>
      <w:tr>
        <w:tc>
          <w:tcPr>
            <w:tcW w:type="dxa" w:w="2268"/>
          </w:tcPr>
          <w:p>
            <w:r>
              <w:rPr>
                <w:rFonts w:ascii="宋体" w:hAnsi="宋体" w:eastAsia="宋体"/>
                <w:sz w:val="20"/>
              </w:rPr>
            </w:r>
          </w:p>
        </w:tc>
      </w:tr>
      <w:tr>
        <w:tc>
          <w:tcPr>
            <w:tcW w:type="dxa" w:w="2268"/>
          </w:tcPr>
          <w:p>
            <w:r>
              <w:rPr>
                <w:rFonts w:ascii="宋体" w:hAnsi="宋体" w:eastAsia="宋体"/>
                <w:sz w:val="20"/>
              </w:rPr>
            </w:r>
          </w:p>
        </w:tc>
      </w:tr>
      <w:tr>
        <w:tc>
          <w:tcPr>
            <w:tcW w:type="dxa" w:w="2268"/>
          </w:tcPr>
          <w:p>
            <w:r>
              <w:rPr>
                <w:rFonts w:ascii="宋体" w:hAnsi="宋体" w:eastAsia="宋体"/>
                <w:sz w:val="20"/>
              </w:rPr>
            </w:r>
          </w:p>
        </w:tc>
      </w:tr>
      <w:tr>
        <w:tc>
          <w:tcPr>
            <w:tcW w:type="dxa" w:w="2268"/>
          </w:tcPr>
          <w:p>
            <w:r>
              <w:rPr>
                <w:rFonts w:ascii="宋体" w:hAnsi="宋体" w:eastAsia="宋体"/>
                <w:sz w:val="20"/>
              </w:rPr>
            </w:r>
          </w:p>
        </w:tc>
      </w:tr>
    </w:tbl>
    <w:p>
      <w:pPr>
        <w:spacing w:after="120" w:line="360" w:lineRule="auto"/>
      </w:pPr>
      <w:r>
        <w:rPr>
          <w:rFonts w:ascii="宋体" w:hAnsi="宋体" w:eastAsia="宋体"/>
          <w:sz w:val="22"/>
        </w:rPr>
        <w:t>【填写说明】本文件为模板，使用时请将所有方括号"[]"内容和"____"下划线处替换为贵公司实际信息。</w:t>
        <w:br/>
        <w:t xml:space="preserve"> 本文件对应 ISO 45001:2018 条款 8.1.3。变更管理是ISO 45001:2018新增重点要求，审核时必查。</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