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承包商安全管理程序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承包商安全管理程序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文件编号：HSE-PRO-009 | 版本：A/0 | ISO 45001:2018 条款：8.1.4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为建立并维持系统化的承包商安全管理机制，确保所有进入公司作业场所的承包商（含分包商）具备相应安全资质、遵守本公司安全管理规定、落实风险控制措施，防止承包商作业引发事故，特制定本程序。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统计显示：承包商作业事故占总事故数的40%以上，是中资出海企业安全管理的最大短板。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本程序适用于所有进入公司作业场所的承包商管理，包括：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施工承包方（土建、装修、扩建）；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设备安装/检维修承包方；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保洁、绿化、食堂等后勤服务承包方；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运输、物流承包方；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临时劳务外包人员。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承包商准入资格审查（合同签定前）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采购部在发包前，须要求承包商提供以下资料供资格审查：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营业执照、资质证书（安全生产许可证等）；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近3年安全事故记录声明（或无事故证明）；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安全管理制度文件（或安全管理制度目录）；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为作业人员购买工伤保险的证明；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特种作业人员证件清单（如有）；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EHS部门对以上资料进行专业审查，出具《承包商安全资质审查意见表》；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资质审查不合格的承包商，不得发包（一票否决制）。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合同与安全协议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采购合同须包含安全责任条款，明确：承包商须遵守公司安全管理规定、须为其作业人员购买工伤保险、发生事故的报告和责任承担；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同时签定《安全管理协议》（作为合同附件），进一步明确双方安全职责、违章处罚标准、事故责任追究；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《安全管理协议》须由EHS部门审核后，方可签定。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入场前安全培训（PTW之前）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承包商人员进场作业前必须接受EHS部门组织的安全培训，内容包括：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公司安全管理规定（正确使用PPE、禁止违章指挥等）；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作业现场危险源告知；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应急处置程序（火灾、触电、人员救护等）；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作业许可制度（PTW）要求；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培训时长不少于4学时，培训后须进行考试（80分合格）；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培训合格者，发放《承包商人员安全培训合格证》（有效期通常为1年）；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未经培训或培训不合格者，不得进场作业。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作业许可（PTW）管理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承包商从事高风险作业（动火、高处、受限空间、临时用电、起重吊装等），必须向EHS部门申请作业许可证（PTW）；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PTW申请流程与本公司员工相同（参见HSE-PRO-007《运行控制程序》）；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EHS部门在批准PTW前，须到现场核查安全措施落实情况；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PTW有效期不超过24小时，跨天作业须重新申请。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现场监督与检查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使用部门须指定作业监护人（通常为班组长或技术人员），全程在现场监督承包商作业；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作业监护人职责：核对作业人员与合格证是否一致、监督PPE佩戴情况、监督高风险作业是否经批准、发现违章立即制止；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EHS部门对承包商作业现场进行不定期巡查（每天至少一次），填写《承包商安全检查记录表》；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发现重大安全隐患，EHS部门有权责令立即停工，整改合格后方可复工。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4.6 承包商安全绩效评估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项目结束后，EHS部门组织对承包商进行安全绩效评估；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评估内容：违章次数、是否发生事件、整改配合度、现场文明施工情况；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评估等级：A级（优秀）、B级（合格）、C级（不合格）；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C级承包商：列入《不合格承包商名单》，以后不得发包（黑名单制度）。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HSE-PRO-001 《危险源辨识与风险评估程序》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HSE-PRO-007 《运行控制程序》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HSE-PRO-013 《事件调查与不符合控制程序》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《承包商安全培训记录》（表格编号：HSE-FM-090）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《承包商安全资质审查意见表》（表格编号：HSE-FM-091）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8.1.4。承包商管理是ISO审核时的高频不符合项，须重点落实。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