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BBC58E" w14:textId="1F217DE6" w:rsidR="001718E6" w:rsidRPr="006060A5" w:rsidRDefault="00E47F24" w:rsidP="00297683">
      <w:pPr>
        <w:rPr>
          <w:vertAlign w:val="subscript"/>
        </w:rPr>
      </w:pPr>
      <w:r w:rsidRPr="006060A5">
        <w:rPr>
          <w:noProof/>
        </w:rPr>
        <w:drawing>
          <wp:anchor distT="0" distB="0" distL="114300" distR="114300" simplePos="0" relativeHeight="251661312" behindDoc="1" locked="0" layoutInCell="1" allowOverlap="1" wp14:anchorId="62E79D05" wp14:editId="639EE5E5">
            <wp:simplePos x="0" y="0"/>
            <wp:positionH relativeFrom="margin">
              <wp:align>center</wp:align>
            </wp:positionH>
            <wp:positionV relativeFrom="margin">
              <wp:posOffset>-259080</wp:posOffset>
            </wp:positionV>
            <wp:extent cx="4537075" cy="164592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4537075" cy="1645920"/>
                    </a:xfrm>
                    <a:prstGeom prst="rect">
                      <a:avLst/>
                    </a:prstGeom>
                  </pic:spPr>
                </pic:pic>
              </a:graphicData>
            </a:graphic>
            <wp14:sizeRelH relativeFrom="margin">
              <wp14:pctWidth>0</wp14:pctWidth>
            </wp14:sizeRelH>
          </wp:anchor>
        </w:drawing>
      </w:r>
    </w:p>
    <w:p w14:paraId="1DA14959" w14:textId="77777777" w:rsidR="00C217F8" w:rsidRDefault="00C217F8" w:rsidP="008F02E4">
      <w:pPr>
        <w:jc w:val="center"/>
        <w:rPr>
          <w:b/>
          <w:i/>
          <w:smallCaps/>
        </w:rPr>
      </w:pPr>
    </w:p>
    <w:p w14:paraId="22F0B9A9" w14:textId="77777777" w:rsidR="00C217F8" w:rsidRDefault="00C217F8" w:rsidP="008F02E4">
      <w:pPr>
        <w:jc w:val="center"/>
        <w:rPr>
          <w:b/>
          <w:i/>
          <w:smallCaps/>
        </w:rPr>
      </w:pPr>
    </w:p>
    <w:p w14:paraId="4E0DCDF0" w14:textId="77777777" w:rsidR="00C217F8" w:rsidRDefault="00C217F8" w:rsidP="008F02E4">
      <w:pPr>
        <w:jc w:val="center"/>
        <w:rPr>
          <w:b/>
          <w:i/>
          <w:smallCaps/>
        </w:rPr>
      </w:pPr>
    </w:p>
    <w:p w14:paraId="289CAD98" w14:textId="77777777" w:rsidR="00C217F8" w:rsidRDefault="00C217F8" w:rsidP="008F02E4">
      <w:pPr>
        <w:jc w:val="center"/>
        <w:rPr>
          <w:b/>
          <w:i/>
          <w:smallCaps/>
        </w:rPr>
      </w:pPr>
    </w:p>
    <w:p w14:paraId="5FE059F0" w14:textId="77777777" w:rsidR="00C217F8" w:rsidRDefault="00C217F8" w:rsidP="008F02E4">
      <w:pPr>
        <w:jc w:val="center"/>
        <w:rPr>
          <w:b/>
          <w:i/>
          <w:smallCaps/>
        </w:rPr>
      </w:pPr>
    </w:p>
    <w:p w14:paraId="0BB04073" w14:textId="77777777" w:rsidR="00C217F8" w:rsidRDefault="00C217F8" w:rsidP="008F02E4">
      <w:pPr>
        <w:jc w:val="center"/>
        <w:rPr>
          <w:b/>
          <w:i/>
          <w:smallCaps/>
        </w:rPr>
      </w:pPr>
    </w:p>
    <w:p w14:paraId="744BF430" w14:textId="77777777" w:rsidR="00C217F8" w:rsidRDefault="00C217F8" w:rsidP="008F02E4">
      <w:pPr>
        <w:jc w:val="center"/>
        <w:rPr>
          <w:b/>
          <w:i/>
          <w:smallCaps/>
        </w:rPr>
      </w:pPr>
    </w:p>
    <w:p w14:paraId="5B63161F" w14:textId="77777777" w:rsidR="00C217F8" w:rsidRDefault="00C217F8" w:rsidP="008F02E4">
      <w:pPr>
        <w:jc w:val="center"/>
        <w:rPr>
          <w:b/>
          <w:i/>
          <w:smallCaps/>
        </w:rPr>
      </w:pPr>
    </w:p>
    <w:p w14:paraId="29503DF3" w14:textId="20E3B9FE" w:rsidR="008F02E4" w:rsidRPr="006060A5" w:rsidRDefault="008F02E4" w:rsidP="008F02E4">
      <w:pPr>
        <w:jc w:val="center"/>
        <w:rPr>
          <w:b/>
          <w:i/>
          <w:smallCaps/>
        </w:rPr>
      </w:pPr>
      <w:r w:rsidRPr="006060A5">
        <w:rPr>
          <w:b/>
          <w:i/>
          <w:smallCaps/>
        </w:rPr>
        <w:t>Via Email Only</w:t>
      </w:r>
    </w:p>
    <w:p w14:paraId="233C203F" w14:textId="59546948" w:rsidR="00613F5D" w:rsidRPr="006060A5" w:rsidRDefault="00613F5D" w:rsidP="00613F5D">
      <w:pPr>
        <w:jc w:val="center"/>
      </w:pPr>
      <w:r w:rsidRPr="006060A5">
        <w:fldChar w:fldCharType="begin"/>
      </w:r>
      <w:r w:rsidRPr="006060A5">
        <w:instrText xml:space="preserve"> TIME \@ "MMMM d, yyyy" </w:instrText>
      </w:r>
      <w:r w:rsidRPr="006060A5">
        <w:fldChar w:fldCharType="separate"/>
      </w:r>
      <w:r w:rsidR="001971FC">
        <w:rPr>
          <w:noProof/>
        </w:rPr>
        <w:t>February 26, 2024</w:t>
      </w:r>
      <w:r w:rsidRPr="006060A5">
        <w:fldChar w:fldCharType="end"/>
      </w:r>
    </w:p>
    <w:p w14:paraId="7A743C73" w14:textId="77777777" w:rsidR="008F02E4" w:rsidRPr="006060A5" w:rsidRDefault="008F02E4" w:rsidP="008F02E4"/>
    <w:p w14:paraId="64E13D83" w14:textId="77777777" w:rsidR="00F82CFB" w:rsidRPr="006060A5" w:rsidRDefault="00F82CFB" w:rsidP="00F82CFB">
      <w:pPr>
        <w:rPr>
          <w:szCs w:val="24"/>
          <w:shd w:val="clear" w:color="auto" w:fill="FFFFFF"/>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77"/>
        <w:gridCol w:w="4471"/>
      </w:tblGrid>
      <w:tr w:rsidR="00D733D3" w:rsidRPr="006060A5" w14:paraId="5C2D4622" w14:textId="77777777" w:rsidTr="00D733D3">
        <w:tc>
          <w:tcPr>
            <w:tcW w:w="5395" w:type="dxa"/>
          </w:tcPr>
          <w:p w14:paraId="6A83E628" w14:textId="77777777" w:rsidR="00D733D3" w:rsidRPr="006060A5" w:rsidRDefault="00D733D3">
            <w:pPr>
              <w:rPr>
                <w:szCs w:val="24"/>
              </w:rPr>
            </w:pPr>
            <w:r w:rsidRPr="006060A5">
              <w:rPr>
                <w:szCs w:val="24"/>
              </w:rPr>
              <w:t xml:space="preserve">&lt;&lt; </w:t>
            </w:r>
            <w:proofErr w:type="gramStart"/>
            <w:r w:rsidRPr="006060A5">
              <w:rPr>
                <w:szCs w:val="24"/>
              </w:rPr>
              <w:t>Matter.CustomField.OcName</w:t>
            </w:r>
            <w:proofErr w:type="gramEnd"/>
            <w:r w:rsidRPr="006060A5">
              <w:rPr>
                <w:szCs w:val="24"/>
              </w:rPr>
              <w:t>1 &gt;&gt;</w:t>
            </w:r>
          </w:p>
          <w:p w14:paraId="61216B17" w14:textId="77777777" w:rsidR="00D733D3" w:rsidRPr="006060A5" w:rsidRDefault="00D733D3">
            <w:pPr>
              <w:rPr>
                <w:szCs w:val="24"/>
              </w:rPr>
            </w:pPr>
            <w:r w:rsidRPr="006060A5">
              <w:rPr>
                <w:szCs w:val="24"/>
              </w:rPr>
              <w:t xml:space="preserve">&lt;&lt; </w:t>
            </w:r>
            <w:proofErr w:type="gramStart"/>
            <w:r w:rsidRPr="006060A5">
              <w:rPr>
                <w:szCs w:val="24"/>
              </w:rPr>
              <w:t>Matter.CustomField.OcName</w:t>
            </w:r>
            <w:proofErr w:type="gramEnd"/>
            <w:r w:rsidRPr="006060A5">
              <w:rPr>
                <w:szCs w:val="24"/>
              </w:rPr>
              <w:t>2 &gt;&gt;</w:t>
            </w:r>
          </w:p>
          <w:p w14:paraId="5A163409" w14:textId="77777777" w:rsidR="00D733D3" w:rsidRPr="006060A5" w:rsidRDefault="00D733D3">
            <w:pPr>
              <w:rPr>
                <w:szCs w:val="24"/>
              </w:rPr>
            </w:pPr>
            <w:r w:rsidRPr="006060A5">
              <w:rPr>
                <w:szCs w:val="24"/>
              </w:rPr>
              <w:t xml:space="preserve">&lt;&lt; </w:t>
            </w:r>
            <w:proofErr w:type="gramStart"/>
            <w:r w:rsidRPr="006060A5">
              <w:rPr>
                <w:szCs w:val="24"/>
              </w:rPr>
              <w:t>Matter.CustomField.OcName</w:t>
            </w:r>
            <w:proofErr w:type="gramEnd"/>
            <w:r w:rsidRPr="006060A5">
              <w:rPr>
                <w:szCs w:val="24"/>
              </w:rPr>
              <w:t>3 &gt;&gt;</w:t>
            </w:r>
          </w:p>
          <w:p w14:paraId="20D71F94" w14:textId="77777777" w:rsidR="00D733D3" w:rsidRPr="006060A5" w:rsidRDefault="00D733D3">
            <w:pPr>
              <w:rPr>
                <w:b/>
                <w:smallCaps/>
                <w:szCs w:val="24"/>
              </w:rPr>
            </w:pPr>
            <w:r w:rsidRPr="006060A5">
              <w:rPr>
                <w:b/>
                <w:smallCaps/>
                <w:szCs w:val="24"/>
              </w:rPr>
              <w:t xml:space="preserve">&lt;&lt; </w:t>
            </w:r>
            <w:proofErr w:type="spellStart"/>
            <w:proofErr w:type="gramStart"/>
            <w:r w:rsidRPr="006060A5">
              <w:rPr>
                <w:b/>
                <w:smallCaps/>
                <w:szCs w:val="24"/>
              </w:rPr>
              <w:t>Matter.CustomField.OcFirmName</w:t>
            </w:r>
            <w:proofErr w:type="spellEnd"/>
            <w:proofErr w:type="gramEnd"/>
            <w:r w:rsidRPr="006060A5">
              <w:rPr>
                <w:b/>
                <w:smallCaps/>
                <w:szCs w:val="24"/>
              </w:rPr>
              <w:t xml:space="preserve"> &gt;&gt;</w:t>
            </w:r>
          </w:p>
          <w:p w14:paraId="77E3303A" w14:textId="77777777" w:rsidR="00D733D3" w:rsidRPr="006060A5" w:rsidRDefault="00D733D3">
            <w:pPr>
              <w:rPr>
                <w:szCs w:val="24"/>
              </w:rPr>
            </w:pPr>
            <w:r w:rsidRPr="006060A5">
              <w:rPr>
                <w:szCs w:val="24"/>
              </w:rPr>
              <w:t xml:space="preserve">&lt;&lt; </w:t>
            </w:r>
            <w:proofErr w:type="spellStart"/>
            <w:proofErr w:type="gramStart"/>
            <w:r w:rsidRPr="006060A5">
              <w:rPr>
                <w:szCs w:val="24"/>
              </w:rPr>
              <w:t>Matter.CustomField.OcStreetAddress</w:t>
            </w:r>
            <w:proofErr w:type="spellEnd"/>
            <w:proofErr w:type="gramEnd"/>
            <w:r w:rsidRPr="006060A5">
              <w:rPr>
                <w:szCs w:val="24"/>
              </w:rPr>
              <w:t xml:space="preserve"> &gt;&gt;</w:t>
            </w:r>
          </w:p>
          <w:p w14:paraId="61BE1B80" w14:textId="77777777" w:rsidR="00D733D3" w:rsidRPr="006060A5" w:rsidRDefault="00D733D3">
            <w:pPr>
              <w:rPr>
                <w:szCs w:val="24"/>
              </w:rPr>
            </w:pPr>
            <w:r w:rsidRPr="006060A5">
              <w:rPr>
                <w:szCs w:val="24"/>
              </w:rPr>
              <w:t xml:space="preserve">&lt;&lt; </w:t>
            </w:r>
            <w:proofErr w:type="spellStart"/>
            <w:proofErr w:type="gramStart"/>
            <w:r w:rsidRPr="006060A5">
              <w:rPr>
                <w:szCs w:val="24"/>
              </w:rPr>
              <w:t>Matter.CustomField.OcCityStateZip</w:t>
            </w:r>
            <w:proofErr w:type="spellEnd"/>
            <w:proofErr w:type="gramEnd"/>
            <w:r w:rsidRPr="006060A5">
              <w:rPr>
                <w:szCs w:val="24"/>
              </w:rPr>
              <w:t xml:space="preserve"> &gt;&gt;</w:t>
            </w:r>
          </w:p>
          <w:p w14:paraId="5531F635" w14:textId="77777777" w:rsidR="00D733D3" w:rsidRPr="006060A5" w:rsidRDefault="00D733D3">
            <w:pPr>
              <w:rPr>
                <w:sz w:val="20"/>
                <w:lang w:eastAsia="zh-CN"/>
              </w:rPr>
            </w:pPr>
          </w:p>
        </w:tc>
        <w:tc>
          <w:tcPr>
            <w:tcW w:w="5395" w:type="dxa"/>
          </w:tcPr>
          <w:p w14:paraId="78BF40FE" w14:textId="77777777" w:rsidR="00D733D3" w:rsidRPr="006060A5" w:rsidRDefault="00D733D3">
            <w:pPr>
              <w:rPr>
                <w:sz w:val="20"/>
                <w:lang w:eastAsia="zh-CN"/>
              </w:rPr>
            </w:pPr>
          </w:p>
        </w:tc>
      </w:tr>
    </w:tbl>
    <w:p w14:paraId="4FE87BEA" w14:textId="77777777" w:rsidR="00D733D3" w:rsidRPr="006060A5" w:rsidRDefault="00D733D3" w:rsidP="00D733D3"/>
    <w:p w14:paraId="24E699A0" w14:textId="77777777" w:rsidR="00D733D3" w:rsidRPr="006060A5" w:rsidRDefault="00D733D3" w:rsidP="00D733D3">
      <w:pPr>
        <w:pStyle w:val="ReLine"/>
        <w:widowControl w:val="0"/>
        <w:rPr>
          <w:i/>
        </w:rPr>
      </w:pPr>
      <w:r w:rsidRPr="006060A5">
        <w:rPr>
          <w:b/>
        </w:rPr>
        <w:t>Re:</w:t>
      </w:r>
      <w:r w:rsidRPr="006060A5">
        <w:rPr>
          <w:b/>
        </w:rPr>
        <w:tab/>
      </w:r>
      <w:r w:rsidRPr="006060A5">
        <w:rPr>
          <w:i/>
        </w:rPr>
        <w:t xml:space="preserve">&lt;&lt; </w:t>
      </w:r>
      <w:proofErr w:type="spellStart"/>
      <w:proofErr w:type="gramStart"/>
      <w:r w:rsidRPr="006060A5">
        <w:rPr>
          <w:i/>
        </w:rPr>
        <w:t>Matter.CustomField.CaseNameShort</w:t>
      </w:r>
      <w:proofErr w:type="spellEnd"/>
      <w:proofErr w:type="gramEnd"/>
      <w:r w:rsidRPr="006060A5">
        <w:rPr>
          <w:i/>
        </w:rPr>
        <w:t xml:space="preserve"> &gt;&gt;</w:t>
      </w:r>
    </w:p>
    <w:p w14:paraId="498C4F95" w14:textId="1050E647" w:rsidR="00D733D3" w:rsidRPr="006060A5" w:rsidRDefault="00D733D3" w:rsidP="00D733D3">
      <w:pPr>
        <w:pStyle w:val="ReLine"/>
        <w:widowControl w:val="0"/>
      </w:pPr>
      <w:r w:rsidRPr="006060A5">
        <w:rPr>
          <w:b/>
        </w:rPr>
        <w:tab/>
      </w:r>
      <w:r w:rsidRPr="006060A5">
        <w:t xml:space="preserve">County of &lt;&lt; </w:t>
      </w:r>
      <w:proofErr w:type="spellStart"/>
      <w:proofErr w:type="gramStart"/>
      <w:r w:rsidRPr="006060A5">
        <w:t>Matter.CustomField.County</w:t>
      </w:r>
      <w:proofErr w:type="spellEnd"/>
      <w:proofErr w:type="gramEnd"/>
      <w:r w:rsidRPr="006060A5">
        <w:t xml:space="preserve"> &gt;&gt; Case No.: &lt;&lt; </w:t>
      </w:r>
      <w:proofErr w:type="spellStart"/>
      <w:r w:rsidRPr="006060A5">
        <w:t>Matter.CustomField.CaseNumber</w:t>
      </w:r>
      <w:proofErr w:type="spellEnd"/>
      <w:r w:rsidRPr="006060A5">
        <w:t xml:space="preserve"> &gt;&gt;</w:t>
      </w:r>
    </w:p>
    <w:p w14:paraId="7C7E5C64" w14:textId="5B6E7FE0" w:rsidR="00F82CFB" w:rsidRPr="006060A5" w:rsidRDefault="00F82CFB" w:rsidP="00613F5D">
      <w:pPr>
        <w:rPr>
          <w:szCs w:val="24"/>
          <w:u w:val="single"/>
        </w:rPr>
      </w:pPr>
      <w:r w:rsidRPr="006060A5">
        <w:rPr>
          <w:i/>
          <w:iCs/>
          <w:szCs w:val="24"/>
          <w:shd w:val="clear" w:color="auto" w:fill="FFFFFF"/>
        </w:rPr>
        <w:tab/>
      </w:r>
      <w:r w:rsidRPr="006060A5">
        <w:rPr>
          <w:i/>
          <w:iCs/>
          <w:szCs w:val="24"/>
          <w:shd w:val="clear" w:color="auto" w:fill="FFFFFF"/>
        </w:rPr>
        <w:tab/>
      </w:r>
      <w:r w:rsidRPr="006060A5">
        <w:rPr>
          <w:szCs w:val="24"/>
          <w:u w:val="single"/>
          <w:shd w:val="clear" w:color="auto" w:fill="FFFFFF"/>
        </w:rPr>
        <w:t xml:space="preserve">Objections to Defendant’s Code of Civil Procedure § 998 Offer </w:t>
      </w:r>
    </w:p>
    <w:p w14:paraId="7CBEE8B6" w14:textId="77777777" w:rsidR="008F02E4" w:rsidRPr="006060A5" w:rsidRDefault="008F02E4" w:rsidP="008F02E4">
      <w:pPr>
        <w:widowControl w:val="0"/>
      </w:pPr>
    </w:p>
    <w:p w14:paraId="2C16E34C" w14:textId="26956BE4" w:rsidR="00F82CFB" w:rsidRPr="006060A5" w:rsidRDefault="00F82CFB" w:rsidP="00F82CFB">
      <w:pPr>
        <w:ind w:left="720" w:right="720"/>
        <w:rPr>
          <w:szCs w:val="24"/>
        </w:rPr>
      </w:pPr>
      <w:r w:rsidRPr="006060A5">
        <w:rPr>
          <w:szCs w:val="24"/>
        </w:rPr>
        <w:t>Dear Counsel,</w:t>
      </w:r>
    </w:p>
    <w:p w14:paraId="4D58CD6A" w14:textId="77777777" w:rsidR="00F82CFB" w:rsidRPr="006060A5" w:rsidRDefault="00F82CFB" w:rsidP="00F82CFB">
      <w:pPr>
        <w:ind w:left="720" w:right="720"/>
        <w:rPr>
          <w:szCs w:val="24"/>
        </w:rPr>
      </w:pPr>
    </w:p>
    <w:p w14:paraId="051AA637" w14:textId="73D074EC" w:rsidR="00F82CFB" w:rsidRPr="006060A5" w:rsidRDefault="00F82CFB" w:rsidP="00F82CFB">
      <w:pPr>
        <w:ind w:firstLine="720"/>
        <w:jc w:val="both"/>
        <w:rPr>
          <w:szCs w:val="24"/>
        </w:rPr>
      </w:pPr>
      <w:r w:rsidRPr="006060A5">
        <w:rPr>
          <w:szCs w:val="24"/>
        </w:rPr>
        <w:t xml:space="preserve">Please be advised that </w:t>
      </w:r>
      <w:r w:rsidR="00D733D3" w:rsidRPr="006060A5">
        <w:t xml:space="preserve">Plaintiff &lt;&lt; </w:t>
      </w:r>
      <w:proofErr w:type="spellStart"/>
      <w:proofErr w:type="gramStart"/>
      <w:r w:rsidR="00D733D3" w:rsidRPr="006060A5">
        <w:t>Matter.CustomField.PlaintiffsNameShort</w:t>
      </w:r>
      <w:proofErr w:type="spellEnd"/>
      <w:proofErr w:type="gramEnd"/>
      <w:r w:rsidR="00D733D3" w:rsidRPr="006060A5">
        <w:t xml:space="preserve"> &gt;&gt; (the “</w:t>
      </w:r>
      <w:r w:rsidR="00D733D3" w:rsidRPr="006060A5">
        <w:rPr>
          <w:b/>
        </w:rPr>
        <w:t>Plaintiff</w:t>
      </w:r>
      <w:r w:rsidR="00D733D3" w:rsidRPr="006060A5">
        <w:t xml:space="preserve">”) </w:t>
      </w:r>
      <w:r w:rsidRPr="006060A5">
        <w:rPr>
          <w:szCs w:val="24"/>
        </w:rPr>
        <w:t xml:space="preserve">hereby objects to the purported validity of Defendant’s Statutory Offer to Compromise pursuant to Code of Civil Procedure (“CCP”) section 998, served on or about </w:t>
      </w:r>
      <w:r w:rsidR="00D733D3" w:rsidRPr="006060A5">
        <w:rPr>
          <w:szCs w:val="24"/>
        </w:rPr>
        <w:t>[</w:t>
      </w:r>
      <w:r w:rsidR="00D733D3" w:rsidRPr="006060A5">
        <w:rPr>
          <w:szCs w:val="24"/>
          <w:highlight w:val="yellow"/>
        </w:rPr>
        <w:t>Date 998 Offer Was sent</w:t>
      </w:r>
      <w:r w:rsidR="00D733D3" w:rsidRPr="006060A5">
        <w:rPr>
          <w:szCs w:val="24"/>
        </w:rPr>
        <w:t>]</w:t>
      </w:r>
      <w:r w:rsidRPr="006060A5">
        <w:rPr>
          <w:szCs w:val="24"/>
        </w:rPr>
        <w:t xml:space="preserve"> (“§ 998 Offer”).  Below, Plaintiff identifies the reasons why the § 998 Offer served </w:t>
      </w:r>
      <w:r w:rsidR="00822328" w:rsidRPr="006060A5">
        <w:rPr>
          <w:szCs w:val="24"/>
        </w:rPr>
        <w:t xml:space="preserve">by </w:t>
      </w:r>
      <w:r w:rsidR="00937DD8" w:rsidRPr="006060A5">
        <w:rPr>
          <w:szCs w:val="24"/>
        </w:rPr>
        <w:t xml:space="preserve">&lt;&lt; </w:t>
      </w:r>
      <w:proofErr w:type="spellStart"/>
      <w:proofErr w:type="gramStart"/>
      <w:r w:rsidR="00937DD8" w:rsidRPr="006060A5">
        <w:rPr>
          <w:szCs w:val="24"/>
        </w:rPr>
        <w:t>Matter.CustomField.DefendantsNameShort</w:t>
      </w:r>
      <w:proofErr w:type="spellEnd"/>
      <w:proofErr w:type="gramEnd"/>
      <w:r w:rsidR="00937DD8" w:rsidRPr="006060A5">
        <w:rPr>
          <w:szCs w:val="24"/>
        </w:rPr>
        <w:t xml:space="preserve"> &gt;&gt;</w:t>
      </w:r>
      <w:r w:rsidR="00D733D3" w:rsidRPr="006060A5">
        <w:t xml:space="preserve"> (“</w:t>
      </w:r>
      <w:r w:rsidR="00D733D3" w:rsidRPr="006060A5">
        <w:rPr>
          <w:b/>
        </w:rPr>
        <w:t>Defendant</w:t>
      </w:r>
      <w:r w:rsidR="00D733D3" w:rsidRPr="006060A5">
        <w:t xml:space="preserve">” or “&lt;&lt; </w:t>
      </w:r>
      <w:proofErr w:type="spellStart"/>
      <w:r w:rsidR="00D733D3" w:rsidRPr="006060A5">
        <w:t>Matter.CustomField.DefendantsAbbreviatedName</w:t>
      </w:r>
      <w:proofErr w:type="spellEnd"/>
      <w:r w:rsidR="00D733D3" w:rsidRPr="006060A5">
        <w:t xml:space="preserve"> &gt;&gt;”) </w:t>
      </w:r>
      <w:r w:rsidRPr="006060A5">
        <w:rPr>
          <w:szCs w:val="24"/>
        </w:rPr>
        <w:t xml:space="preserve">is invalid. While this is not an exhaustive list of objections, Defendant’s offer is vague, ambiguous, incapable of evaluation, and invalid in other respects in addition to those identified here.  </w:t>
      </w:r>
    </w:p>
    <w:p w14:paraId="5E3D5182" w14:textId="77777777" w:rsidR="00F82CFB" w:rsidRPr="006060A5" w:rsidRDefault="00F82CFB" w:rsidP="00F82CFB">
      <w:pPr>
        <w:ind w:firstLine="720"/>
        <w:jc w:val="both"/>
        <w:rPr>
          <w:szCs w:val="24"/>
        </w:rPr>
      </w:pPr>
    </w:p>
    <w:p w14:paraId="6A674A05" w14:textId="2136FDE0" w:rsidR="00F82CFB" w:rsidRPr="006060A5" w:rsidRDefault="00F82CFB" w:rsidP="00F82CFB">
      <w:pPr>
        <w:pStyle w:val="ListParagraph"/>
        <w:numPr>
          <w:ilvl w:val="0"/>
          <w:numId w:val="4"/>
        </w:numPr>
        <w:ind w:right="360"/>
      </w:pPr>
      <w:r w:rsidRPr="006060A5">
        <w:rPr>
          <w:u w:val="single"/>
        </w:rPr>
        <w:t xml:space="preserve">Defendant’s </w:t>
      </w:r>
      <w:r w:rsidRPr="006060A5">
        <w:t>§</w:t>
      </w:r>
      <w:r w:rsidRPr="006060A5">
        <w:rPr>
          <w:u w:val="single"/>
        </w:rPr>
        <w:t>998 Offer is Invalid Because It is Critically Vague, Ambiguous, and Uncertain</w:t>
      </w:r>
    </w:p>
    <w:p w14:paraId="178F8AF2" w14:textId="77777777" w:rsidR="00F82CFB" w:rsidRPr="006060A5" w:rsidRDefault="00F82CFB" w:rsidP="00F82CFB">
      <w:pPr>
        <w:pStyle w:val="ListParagraph"/>
        <w:ind w:left="1080"/>
      </w:pPr>
    </w:p>
    <w:p w14:paraId="78D21351" w14:textId="76F61204" w:rsidR="00F82CFB" w:rsidRPr="006060A5" w:rsidRDefault="00F82CFB" w:rsidP="00F82CFB">
      <w:pPr>
        <w:ind w:firstLine="720"/>
        <w:jc w:val="both"/>
        <w:rPr>
          <w:i/>
          <w:szCs w:val="24"/>
        </w:rPr>
      </w:pPr>
      <w:r w:rsidRPr="006060A5">
        <w:rPr>
          <w:szCs w:val="24"/>
        </w:rPr>
        <w:t xml:space="preserve">The purpose of CCP § 998 offers is to encourage resolution of cases and to encourage parties to accept reasonable settlement offers. The statute and the case law require specific offers that can be fairly evaluated by the recipient and the court.  </w:t>
      </w:r>
      <w:proofErr w:type="spellStart"/>
      <w:r w:rsidRPr="006060A5">
        <w:rPr>
          <w:i/>
          <w:szCs w:val="24"/>
        </w:rPr>
        <w:t>Fassberg</w:t>
      </w:r>
      <w:proofErr w:type="spellEnd"/>
      <w:r w:rsidRPr="006060A5">
        <w:rPr>
          <w:i/>
          <w:szCs w:val="24"/>
        </w:rPr>
        <w:t xml:space="preserve"> Construction Co. v. Housing Authority of Los Angeles</w:t>
      </w:r>
      <w:r w:rsidRPr="006060A5">
        <w:rPr>
          <w:szCs w:val="24"/>
        </w:rPr>
        <w:t xml:space="preserve"> (2007) 152 Cal. App. 4th 720, 764; </w:t>
      </w:r>
      <w:r w:rsidRPr="006060A5">
        <w:rPr>
          <w:i/>
          <w:szCs w:val="24"/>
        </w:rPr>
        <w:t>Valentino v. Elliott Sav-On Gas Inc.</w:t>
      </w:r>
      <w:r w:rsidRPr="006060A5">
        <w:rPr>
          <w:szCs w:val="24"/>
        </w:rPr>
        <w:t xml:space="preserve"> (1988) 201 Cal. App.3d 692, 697-98.  An offer made pursuant to CCP Section 998 must be sufficiently specific to permit the recipient to evaluate the offer.  </w:t>
      </w:r>
      <w:proofErr w:type="spellStart"/>
      <w:r w:rsidRPr="006060A5">
        <w:rPr>
          <w:i/>
          <w:szCs w:val="24"/>
        </w:rPr>
        <w:t>Fassberg</w:t>
      </w:r>
      <w:proofErr w:type="spellEnd"/>
      <w:r w:rsidRPr="006060A5">
        <w:rPr>
          <w:i/>
          <w:szCs w:val="24"/>
        </w:rPr>
        <w:t>, supra.</w:t>
      </w:r>
      <w:r w:rsidRPr="006060A5">
        <w:rPr>
          <w:szCs w:val="24"/>
        </w:rPr>
        <w:t xml:space="preserve">  Moreover, CCP § 998 offers are strictly construed in favor of the party subjected to the offer.  </w:t>
      </w:r>
      <w:r w:rsidRPr="006060A5">
        <w:rPr>
          <w:i/>
          <w:szCs w:val="24"/>
        </w:rPr>
        <w:t>Barella v. Exchange Bank</w:t>
      </w:r>
      <w:r w:rsidRPr="006060A5">
        <w:rPr>
          <w:szCs w:val="24"/>
        </w:rPr>
        <w:t xml:space="preserve"> (2000) 84 Cal. </w:t>
      </w:r>
      <w:r w:rsidRPr="006060A5">
        <w:rPr>
          <w:szCs w:val="24"/>
        </w:rPr>
        <w:lastRenderedPageBreak/>
        <w:t xml:space="preserve">App.4th 793, 799.  In interpreting statutory offers, California courts have “placed squarely on the offering party the burden of demonstrating that the offer is a valid one section 998.”  </w:t>
      </w:r>
      <w:r w:rsidRPr="006060A5">
        <w:rPr>
          <w:i/>
          <w:szCs w:val="24"/>
        </w:rPr>
        <w:t>Id.</w:t>
      </w:r>
    </w:p>
    <w:p w14:paraId="3F23B5D1" w14:textId="77777777" w:rsidR="00F82CFB" w:rsidRPr="006060A5" w:rsidRDefault="00F82CFB" w:rsidP="00F82CFB">
      <w:pPr>
        <w:ind w:firstLine="720"/>
        <w:jc w:val="both"/>
        <w:rPr>
          <w:i/>
          <w:szCs w:val="24"/>
        </w:rPr>
      </w:pPr>
    </w:p>
    <w:p w14:paraId="2E3C0D7A" w14:textId="591E2B4C" w:rsidR="00F82CFB" w:rsidRPr="006060A5" w:rsidRDefault="00F82CFB" w:rsidP="00F82CFB">
      <w:pPr>
        <w:ind w:firstLine="720"/>
        <w:jc w:val="both"/>
        <w:rPr>
          <w:szCs w:val="24"/>
        </w:rPr>
      </w:pPr>
      <w:r w:rsidRPr="006060A5">
        <w:rPr>
          <w:szCs w:val="24"/>
        </w:rPr>
        <w:t>Preliminarily, it is unclear whether this offer is being provided in accordance with the requirements of Civil Code §§ 1793.2 and 1794. Is Defendant agreeing to a full statutory repurchase of Plaintiff’s car according to Civ. Code § 1793.2? On what basis or pursuant to which statute, if any, is Defendant agreeing to repurchase Plaintiff’s vehicle? Is Defendant agreeing that the car is a “lemon”? Will Defendant agree to brand the subject vehicle’s title as a “lemon” since that is an essential requirement under California lemon law</w:t>
      </w:r>
      <w:r w:rsidRPr="006060A5">
        <w:rPr>
          <w:rStyle w:val="FootnoteReference"/>
          <w:szCs w:val="24"/>
        </w:rPr>
        <w:footnoteReference w:id="1"/>
      </w:r>
      <w:r w:rsidRPr="006060A5">
        <w:rPr>
          <w:szCs w:val="24"/>
        </w:rPr>
        <w:t xml:space="preserve">? Does Defendant agree that Plaintiff has “prevailed” for purposes of the lawsuit?  </w:t>
      </w:r>
    </w:p>
    <w:p w14:paraId="756FE895" w14:textId="77777777" w:rsidR="00F82CFB" w:rsidRPr="006060A5" w:rsidRDefault="00F82CFB" w:rsidP="00F82CFB">
      <w:pPr>
        <w:ind w:firstLine="720"/>
        <w:jc w:val="both"/>
        <w:rPr>
          <w:szCs w:val="24"/>
        </w:rPr>
      </w:pPr>
    </w:p>
    <w:p w14:paraId="50DDCF52" w14:textId="0A03D6F0" w:rsidR="00F82CFB" w:rsidRPr="006060A5" w:rsidRDefault="00F82CFB" w:rsidP="00F82CFB">
      <w:pPr>
        <w:ind w:firstLine="720"/>
        <w:jc w:val="both"/>
        <w:rPr>
          <w:szCs w:val="24"/>
        </w:rPr>
      </w:pPr>
      <w:r w:rsidRPr="006060A5">
        <w:rPr>
          <w:szCs w:val="24"/>
        </w:rPr>
        <w:t>As you know, § 998 offers allow for such a judgment to b</w:t>
      </w:r>
      <w:r w:rsidR="00F733DA">
        <w:rPr>
          <w:szCs w:val="24"/>
        </w:rPr>
        <w:t>e</w:t>
      </w:r>
      <w:r w:rsidRPr="006060A5">
        <w:rPr>
          <w:szCs w:val="24"/>
        </w:rPr>
        <w:t xml:space="preserve"> entered against Defendant. However, the purported § 998 offer does not specify how Plaintiff could possibly accept the purported § 998 offer, in order for Defendant to have judgement be entered against them. Does Defendant want to avoid having a judgment entered against it to get around the statutorily required title-branding requirements?  Without that information, Plaintiff cannot evaluate this provision. </w:t>
      </w:r>
    </w:p>
    <w:p w14:paraId="21C58C75" w14:textId="77777777" w:rsidR="00F82CFB" w:rsidRPr="006060A5" w:rsidRDefault="00F82CFB" w:rsidP="00F82CFB">
      <w:pPr>
        <w:ind w:firstLine="720"/>
        <w:jc w:val="both"/>
        <w:rPr>
          <w:szCs w:val="24"/>
        </w:rPr>
      </w:pPr>
    </w:p>
    <w:p w14:paraId="686759FF" w14:textId="25F65677" w:rsidR="00F82CFB" w:rsidRPr="006060A5" w:rsidRDefault="00F82CFB" w:rsidP="00F82CFB">
      <w:pPr>
        <w:ind w:firstLine="720"/>
        <w:jc w:val="both"/>
        <w:rPr>
          <w:szCs w:val="24"/>
        </w:rPr>
      </w:pPr>
      <w:r w:rsidRPr="006060A5">
        <w:rPr>
          <w:szCs w:val="24"/>
        </w:rPr>
        <w:t xml:space="preserve">The offer which provides </w:t>
      </w:r>
      <w:r w:rsidR="002B5791" w:rsidRPr="006060A5">
        <w:rPr>
          <w:szCs w:val="24"/>
        </w:rPr>
        <w:t>“</w:t>
      </w:r>
      <w:r w:rsidR="002B5791" w:rsidRPr="006060A5">
        <w:rPr>
          <w:szCs w:val="24"/>
          <w:highlight w:val="yellow"/>
        </w:rPr>
        <w:t>SIXTY THOUSAND DOLLARS ($60,000.00)</w:t>
      </w:r>
      <w:r w:rsidR="002B5791" w:rsidRPr="006060A5">
        <w:rPr>
          <w:szCs w:val="24"/>
        </w:rPr>
        <w:t xml:space="preserve"> in restitution damages for full and final settlement</w:t>
      </w:r>
      <w:r w:rsidRPr="006060A5">
        <w:rPr>
          <w:szCs w:val="24"/>
        </w:rPr>
        <w:t>” is invalid, because it does not suggest what amount of the $</w:t>
      </w:r>
      <w:r w:rsidR="002B5791" w:rsidRPr="006060A5">
        <w:rPr>
          <w:szCs w:val="24"/>
        </w:rPr>
        <w:t>60</w:t>
      </w:r>
      <w:r w:rsidRPr="006060A5">
        <w:rPr>
          <w:szCs w:val="24"/>
        </w:rPr>
        <w:t>,000.00 is allocated for what.</w:t>
      </w:r>
      <w:r w:rsidR="002B5791" w:rsidRPr="006060A5">
        <w:rPr>
          <w:szCs w:val="24"/>
        </w:rPr>
        <w:t xml:space="preserve"> As an initial matter, Plaintiff cannot ascertain how Defendant came up with this number to begin with.</w:t>
      </w:r>
      <w:r w:rsidRPr="006060A5">
        <w:rPr>
          <w:szCs w:val="24"/>
        </w:rPr>
        <w:t xml:space="preserve"> It appears the number is arbitrary and random. Defendant’s purported offer does not specify how much of this amount of the $</w:t>
      </w:r>
      <w:r w:rsidR="002B5791" w:rsidRPr="006060A5">
        <w:rPr>
          <w:szCs w:val="24"/>
        </w:rPr>
        <w:t>60</w:t>
      </w:r>
      <w:r w:rsidRPr="006060A5">
        <w:rPr>
          <w:szCs w:val="24"/>
        </w:rPr>
        <w:t xml:space="preserve">,000.00 is allocated to Plaintiff’s actual, incidental, or consequential damages. What about out of pocket repairs? How will they be calculated? What if there is a dispute as to their calculation? What other things are recoverable or are being included/excluded? The offer is completely </w:t>
      </w:r>
      <w:r w:rsidR="00822328" w:rsidRPr="006060A5">
        <w:rPr>
          <w:szCs w:val="24"/>
        </w:rPr>
        <w:t xml:space="preserve">devoid </w:t>
      </w:r>
      <w:r w:rsidR="00E01A77" w:rsidRPr="006060A5">
        <w:rPr>
          <w:szCs w:val="24"/>
        </w:rPr>
        <w:t xml:space="preserve">of </w:t>
      </w:r>
      <w:r w:rsidR="00B6758B" w:rsidRPr="006060A5">
        <w:rPr>
          <w:szCs w:val="24"/>
        </w:rPr>
        <w:t>explanation</w:t>
      </w:r>
      <w:r w:rsidRPr="006060A5">
        <w:rPr>
          <w:szCs w:val="24"/>
        </w:rPr>
        <w:t xml:space="preserve"> and leaves Plaintiff to speculate. </w:t>
      </w:r>
      <w:r w:rsidR="002B5791" w:rsidRPr="006060A5">
        <w:rPr>
          <w:szCs w:val="24"/>
        </w:rPr>
        <w:t xml:space="preserve">Plaintiff has presented Defendant with incidental and consequential damages. Which of those damages, if any, are accounted for? </w:t>
      </w:r>
    </w:p>
    <w:p w14:paraId="4D4AD507" w14:textId="77777777" w:rsidR="002B5791" w:rsidRPr="006060A5" w:rsidRDefault="002B5791" w:rsidP="00F82CFB">
      <w:pPr>
        <w:ind w:firstLine="720"/>
        <w:jc w:val="both"/>
        <w:rPr>
          <w:szCs w:val="24"/>
        </w:rPr>
      </w:pPr>
    </w:p>
    <w:p w14:paraId="5FF48A57" w14:textId="729013E5" w:rsidR="00F82CFB" w:rsidRPr="006060A5" w:rsidRDefault="00F82CFB" w:rsidP="00F82CFB">
      <w:pPr>
        <w:ind w:firstLine="720"/>
        <w:jc w:val="both"/>
        <w:rPr>
          <w:szCs w:val="24"/>
        </w:rPr>
      </w:pPr>
      <w:r w:rsidRPr="006060A5">
        <w:rPr>
          <w:szCs w:val="24"/>
        </w:rPr>
        <w:t xml:space="preserve"> Plaintiff is left only to wonder; what is Defendant really offering? What amount, if any, in the offer, is “civil penalty”? Is there a mileage offset? If so, what is the mileage offset? Why was that offset chosen? For what concern? How was the offset calculated? Is Defendant paying all interest whether accrued or unaccrued? What if there is a dispute as to calculation? W</w:t>
      </w:r>
      <w:r w:rsidR="00822328" w:rsidRPr="006060A5">
        <w:rPr>
          <w:szCs w:val="24"/>
        </w:rPr>
        <w:t xml:space="preserve">ith these </w:t>
      </w:r>
      <w:r w:rsidR="00636859" w:rsidRPr="006060A5">
        <w:rPr>
          <w:szCs w:val="24"/>
        </w:rPr>
        <w:t>aspects</w:t>
      </w:r>
      <w:r w:rsidR="00822328" w:rsidRPr="006060A5">
        <w:rPr>
          <w:szCs w:val="24"/>
        </w:rPr>
        <w:t xml:space="preserve"> left un</w:t>
      </w:r>
      <w:r w:rsidR="00B6758B" w:rsidRPr="006060A5">
        <w:rPr>
          <w:szCs w:val="24"/>
        </w:rPr>
        <w:t>defined</w:t>
      </w:r>
      <w:r w:rsidR="00822328" w:rsidRPr="006060A5">
        <w:rPr>
          <w:szCs w:val="24"/>
        </w:rPr>
        <w:t>, w</w:t>
      </w:r>
      <w:r w:rsidRPr="006060A5">
        <w:rPr>
          <w:szCs w:val="24"/>
        </w:rPr>
        <w:t>ho would settle such a dispute?</w:t>
      </w:r>
    </w:p>
    <w:p w14:paraId="1EA90A2A" w14:textId="77777777" w:rsidR="002B5791" w:rsidRPr="006060A5" w:rsidRDefault="002B5791" w:rsidP="00F82CFB">
      <w:pPr>
        <w:ind w:firstLine="720"/>
        <w:jc w:val="both"/>
        <w:rPr>
          <w:szCs w:val="24"/>
        </w:rPr>
      </w:pPr>
    </w:p>
    <w:p w14:paraId="436C0B5D" w14:textId="77777777" w:rsidR="00F82CFB" w:rsidRPr="006060A5" w:rsidRDefault="00F82CFB" w:rsidP="00F82CFB">
      <w:pPr>
        <w:ind w:firstLine="720"/>
        <w:jc w:val="both"/>
        <w:rPr>
          <w:szCs w:val="24"/>
        </w:rPr>
      </w:pPr>
      <w:r w:rsidRPr="006060A5">
        <w:rPr>
          <w:szCs w:val="24"/>
        </w:rPr>
        <w:t xml:space="preserve">Furthermore, it is unclear there is an offer of civil penalty damages. Indeed, Defendant’s offer fails to account for any measure of possible civil penalty liability, all while Defendant have prevented Plaintiff from obtaining the discovery necessary to establish such liability (as discussed further, </w:t>
      </w:r>
      <w:r w:rsidRPr="006060A5">
        <w:rPr>
          <w:i/>
          <w:szCs w:val="24"/>
        </w:rPr>
        <w:t>infra</w:t>
      </w:r>
      <w:r w:rsidRPr="006060A5">
        <w:rPr>
          <w:szCs w:val="24"/>
        </w:rPr>
        <w:t>). Such factors render the § 998 Offer fatally vague, incapable of valuation, and utterly lacking in any reasonable prospect of acceptance.</w:t>
      </w:r>
    </w:p>
    <w:p w14:paraId="22FCCDDF" w14:textId="77777777" w:rsidR="00F82CFB" w:rsidRPr="006060A5" w:rsidRDefault="00F82CFB" w:rsidP="00F82CFB">
      <w:pPr>
        <w:ind w:firstLine="720"/>
        <w:rPr>
          <w:szCs w:val="24"/>
        </w:rPr>
      </w:pPr>
    </w:p>
    <w:p w14:paraId="5772AABE" w14:textId="77777777" w:rsidR="00F82CFB" w:rsidRPr="006060A5" w:rsidRDefault="00F82CFB" w:rsidP="00F82CFB">
      <w:pPr>
        <w:pStyle w:val="ListParagraph"/>
        <w:numPr>
          <w:ilvl w:val="0"/>
          <w:numId w:val="4"/>
        </w:numPr>
        <w:spacing w:line="360" w:lineRule="auto"/>
        <w:ind w:left="1440" w:hanging="720"/>
      </w:pPr>
      <w:r w:rsidRPr="006060A5">
        <w:rPr>
          <w:u w:val="single"/>
        </w:rPr>
        <w:t xml:space="preserve">Defendant’s </w:t>
      </w:r>
      <w:r w:rsidRPr="006060A5">
        <w:t>§</w:t>
      </w:r>
      <w:r w:rsidRPr="006060A5">
        <w:rPr>
          <w:u w:val="single"/>
        </w:rPr>
        <w:t>998 Offer is Invalid Because It Contains Invalid Provisions</w:t>
      </w:r>
    </w:p>
    <w:p w14:paraId="19675D28" w14:textId="2EA1C2C0" w:rsidR="00F82CFB" w:rsidRPr="006060A5" w:rsidRDefault="00F82CFB" w:rsidP="00F82CFB">
      <w:pPr>
        <w:autoSpaceDE w:val="0"/>
        <w:autoSpaceDN w:val="0"/>
        <w:adjustRightInd w:val="0"/>
        <w:ind w:firstLine="720"/>
        <w:jc w:val="both"/>
        <w:rPr>
          <w:szCs w:val="24"/>
        </w:rPr>
      </w:pPr>
      <w:r w:rsidRPr="006060A5">
        <w:rPr>
          <w:szCs w:val="24"/>
        </w:rPr>
        <w:lastRenderedPageBreak/>
        <w:t xml:space="preserve">Defendant’s preclusion of the recovery of fees does not comport with California Civil Code section 1794(d) in other respects because it fails to follow the wording of the statute.  See </w:t>
      </w:r>
      <w:r w:rsidRPr="006060A5">
        <w:rPr>
          <w:i/>
          <w:szCs w:val="24"/>
        </w:rPr>
        <w:t>McKenzie v. Ford Motor Company</w:t>
      </w:r>
      <w:r w:rsidRPr="006060A5">
        <w:rPr>
          <w:szCs w:val="24"/>
        </w:rPr>
        <w:t xml:space="preserve"> (2015) 238 Cal.App.4</w:t>
      </w:r>
      <w:r w:rsidRPr="006060A5">
        <w:rPr>
          <w:szCs w:val="24"/>
          <w:vertAlign w:val="superscript"/>
        </w:rPr>
        <w:t>th</w:t>
      </w:r>
      <w:r w:rsidRPr="006060A5">
        <w:rPr>
          <w:szCs w:val="24"/>
        </w:rPr>
        <w:t xml:space="preserve"> 695. The offer would implicitly and improperly preclude all pre-judgment interest and post-offer recoveries. This type of clause was found illegal in </w:t>
      </w:r>
      <w:r w:rsidRPr="006060A5">
        <w:rPr>
          <w:i/>
          <w:szCs w:val="24"/>
        </w:rPr>
        <w:t>McKenzie, supra</w:t>
      </w:r>
      <w:r w:rsidRPr="006060A5">
        <w:rPr>
          <w:szCs w:val="24"/>
        </w:rPr>
        <w:t>.</w:t>
      </w:r>
      <w:r w:rsidR="00F733DA">
        <w:rPr>
          <w:szCs w:val="24"/>
        </w:rPr>
        <w:t xml:space="preserve"> </w:t>
      </w:r>
      <w:r w:rsidRPr="006060A5">
        <w:rPr>
          <w:szCs w:val="24"/>
        </w:rPr>
        <w:t xml:space="preserve"> Consequently,</w:t>
      </w:r>
      <w:r w:rsidRPr="006060A5">
        <w:rPr>
          <w:szCs w:val="24"/>
          <w:lang w:bidi="en-US"/>
        </w:rPr>
        <w:t xml:space="preserve"> Plaintiff </w:t>
      </w:r>
      <w:r w:rsidRPr="006060A5">
        <w:rPr>
          <w:szCs w:val="24"/>
        </w:rPr>
        <w:t>cannot fairly assess the 998 Offer and objects to its validity</w:t>
      </w:r>
      <w:r w:rsidRPr="006060A5">
        <w:rPr>
          <w:szCs w:val="24"/>
          <w:lang w:bidi="en-US"/>
        </w:rPr>
        <w:t>.</w:t>
      </w:r>
    </w:p>
    <w:p w14:paraId="2D6D7C95" w14:textId="77777777" w:rsidR="00F82CFB" w:rsidRPr="006060A5" w:rsidRDefault="00F82CFB" w:rsidP="00F82CFB">
      <w:pPr>
        <w:pStyle w:val="FootnoteText"/>
        <w:rPr>
          <w:sz w:val="24"/>
          <w:szCs w:val="24"/>
        </w:rPr>
      </w:pPr>
    </w:p>
    <w:p w14:paraId="5C512AAE" w14:textId="77777777" w:rsidR="00F82CFB" w:rsidRPr="006060A5" w:rsidRDefault="00F82CFB" w:rsidP="002B5791">
      <w:pPr>
        <w:pStyle w:val="ListParagraph"/>
        <w:numPr>
          <w:ilvl w:val="0"/>
          <w:numId w:val="4"/>
        </w:numPr>
        <w:ind w:right="1440"/>
        <w:jc w:val="both"/>
      </w:pPr>
      <w:r w:rsidRPr="006060A5">
        <w:rPr>
          <w:u w:val="single"/>
        </w:rPr>
        <w:t xml:space="preserve">Defendant Has Failed to Provide Complete Responses to Plaintiff’s Discovery Requests to Allow Plaintiff to Properly Assess the </w:t>
      </w:r>
      <w:r w:rsidRPr="006060A5">
        <w:t>§</w:t>
      </w:r>
      <w:r w:rsidRPr="006060A5">
        <w:rPr>
          <w:u w:val="single"/>
        </w:rPr>
        <w:t>998 Offer</w:t>
      </w:r>
    </w:p>
    <w:p w14:paraId="30DF4B26" w14:textId="77777777" w:rsidR="00F82CFB" w:rsidRPr="006060A5" w:rsidRDefault="00F82CFB" w:rsidP="00F82CFB">
      <w:pPr>
        <w:pStyle w:val="ListParagraph"/>
        <w:ind w:left="1080"/>
      </w:pPr>
    </w:p>
    <w:p w14:paraId="0152C6E7" w14:textId="3EF53295" w:rsidR="00F82CFB" w:rsidRPr="006060A5" w:rsidRDefault="00F82CFB" w:rsidP="00840306">
      <w:pPr>
        <w:ind w:firstLine="720"/>
        <w:jc w:val="both"/>
        <w:rPr>
          <w:szCs w:val="24"/>
        </w:rPr>
      </w:pPr>
      <w:r w:rsidRPr="006060A5">
        <w:rPr>
          <w:szCs w:val="24"/>
        </w:rPr>
        <w:t>Plaintiff has not yet completed necessary discovery in this dispute.</w:t>
      </w:r>
      <w:r w:rsidR="00840306" w:rsidRPr="006060A5">
        <w:rPr>
          <w:szCs w:val="24"/>
        </w:rPr>
        <w:t xml:space="preserve"> Plaintiff has not received responses to the discovery requests that were made on </w:t>
      </w:r>
      <w:r w:rsidR="00840306" w:rsidRPr="006060A5">
        <w:rPr>
          <w:szCs w:val="24"/>
          <w:highlight w:val="yellow"/>
        </w:rPr>
        <w:t>[date discovery was sent out]</w:t>
      </w:r>
      <w:r w:rsidR="00840306" w:rsidRPr="006060A5">
        <w:rPr>
          <w:szCs w:val="24"/>
        </w:rPr>
        <w:t xml:space="preserve">. </w:t>
      </w:r>
      <w:r w:rsidRPr="006060A5">
        <w:rPr>
          <w:szCs w:val="24"/>
        </w:rPr>
        <w:t xml:space="preserve"> Among other things, Plaintiff wishes to get to the bottom of certain issues related to Defendant’s liability for a potential civil penalty to which such responses are paramount.  Without the documents that have been repeatedly requested in this litigation, Plaintiff simply cannot assess Defendant’s civil penalty.</w:t>
      </w:r>
    </w:p>
    <w:p w14:paraId="5FA241A3" w14:textId="6EBCFD4D" w:rsidR="00840306" w:rsidRPr="006060A5" w:rsidRDefault="00840306" w:rsidP="00840306">
      <w:pPr>
        <w:ind w:firstLine="720"/>
        <w:jc w:val="both"/>
        <w:rPr>
          <w:szCs w:val="24"/>
        </w:rPr>
      </w:pPr>
    </w:p>
    <w:p w14:paraId="634E732C" w14:textId="52F1CFAA" w:rsidR="00840306" w:rsidRPr="006060A5" w:rsidRDefault="00840306" w:rsidP="00840306">
      <w:pPr>
        <w:ind w:firstLine="720"/>
        <w:jc w:val="both"/>
        <w:rPr>
          <w:szCs w:val="24"/>
        </w:rPr>
      </w:pPr>
      <w:r w:rsidRPr="006060A5">
        <w:rPr>
          <w:szCs w:val="24"/>
        </w:rPr>
        <w:t>Only settlement offers made in good faith are effective under section 998. (</w:t>
      </w:r>
      <w:r w:rsidRPr="006060A5">
        <w:rPr>
          <w:i/>
          <w:iCs/>
          <w:szCs w:val="24"/>
        </w:rPr>
        <w:t>Covert v. FCA US, LLC</w:t>
      </w:r>
      <w:r w:rsidRPr="006060A5">
        <w:rPr>
          <w:szCs w:val="24"/>
        </w:rPr>
        <w:t xml:space="preserve"> (2022) 73 Cal.App.5th 821, 833 (Covert).) An offer is only made in good faith if it carried with it some reasonable prospect of acceptance. (Id. at p. 834.) Whether the offer is reasonable "depends upon the information available to the parties as of the date the offer was served." (</w:t>
      </w:r>
      <w:proofErr w:type="spellStart"/>
      <w:r w:rsidRPr="006060A5">
        <w:rPr>
          <w:i/>
          <w:iCs/>
          <w:szCs w:val="24"/>
        </w:rPr>
        <w:t>Westamerica</w:t>
      </w:r>
      <w:proofErr w:type="spellEnd"/>
      <w:r w:rsidRPr="006060A5">
        <w:rPr>
          <w:i/>
          <w:iCs/>
          <w:szCs w:val="24"/>
        </w:rPr>
        <w:t xml:space="preserve"> Bank v. MBG Industries, Inc</w:t>
      </w:r>
      <w:r w:rsidRPr="006060A5">
        <w:rPr>
          <w:szCs w:val="24"/>
        </w:rPr>
        <w:t>. (2007) 158 Cal.App.4th 109, 130.) "Reasonableness generally 'is measured, first, by determining whether the offer represents a reasonable prediction of the amount of money, if any, defendant would have to pay plaintiff following a trial, discounted by an appropriate factor for receipt of money by plaintiff before trial, all premised upon information that was known or reasonably should have been known to the defendant,' and '[i]f an experienced attorney or judge, standing in defendant's shoes, would place the prediction within a range of reasonably possible results, the prediction is reasonable.'" (</w:t>
      </w:r>
      <w:r w:rsidRPr="006060A5">
        <w:rPr>
          <w:i/>
          <w:iCs/>
          <w:szCs w:val="24"/>
        </w:rPr>
        <w:t>Whatley-Miller v. Cooper</w:t>
      </w:r>
      <w:r w:rsidRPr="006060A5">
        <w:rPr>
          <w:szCs w:val="24"/>
        </w:rPr>
        <w:t xml:space="preserve"> (2013) 212 Cal.App.4th 1103, 1112 (</w:t>
      </w:r>
      <w:r w:rsidRPr="006060A5">
        <w:rPr>
          <w:i/>
          <w:iCs/>
          <w:szCs w:val="24"/>
        </w:rPr>
        <w:t>Whatley-Miller</w:t>
      </w:r>
      <w:r w:rsidRPr="006060A5">
        <w:rPr>
          <w:szCs w:val="24"/>
        </w:rPr>
        <w:t xml:space="preserve">), quoting </w:t>
      </w:r>
      <w:r w:rsidRPr="006060A5">
        <w:rPr>
          <w:i/>
          <w:iCs/>
          <w:szCs w:val="24"/>
        </w:rPr>
        <w:t>Elrod v. Oregon Cummins Diesel, Inc</w:t>
      </w:r>
      <w:r w:rsidRPr="006060A5">
        <w:rPr>
          <w:szCs w:val="24"/>
        </w:rPr>
        <w:t>. (1987) 195 Cal.App.3d 692, 699 (</w:t>
      </w:r>
      <w:r w:rsidRPr="006060A5">
        <w:rPr>
          <w:i/>
          <w:iCs/>
          <w:szCs w:val="24"/>
        </w:rPr>
        <w:t>Elrod</w:t>
      </w:r>
      <w:r w:rsidRPr="006060A5">
        <w:rPr>
          <w:szCs w:val="24"/>
        </w:rPr>
        <w:t>).) "If the offer is found reasonable by the first test, it must then satisfy a second test: whether the defendant's information was known or reasonably should have been known to the plaintiff. This second test is necessary because the section 998 mechanism works only where the offeree has reason to know the offer is a reasonable one. If the offeree has no reason to know the offer is reasonable, then the offeree cannot be expected to accept the offer." (</w:t>
      </w:r>
      <w:r w:rsidRPr="006060A5">
        <w:rPr>
          <w:i/>
          <w:iCs/>
          <w:szCs w:val="24"/>
        </w:rPr>
        <w:t>Id</w:t>
      </w:r>
      <w:r w:rsidRPr="006060A5">
        <w:rPr>
          <w:szCs w:val="24"/>
        </w:rPr>
        <w:t xml:space="preserve">. at p. 1113, quoting </w:t>
      </w:r>
      <w:r w:rsidRPr="006060A5">
        <w:rPr>
          <w:i/>
          <w:iCs/>
          <w:szCs w:val="24"/>
        </w:rPr>
        <w:t>Elrod</w:t>
      </w:r>
      <w:r w:rsidRPr="006060A5">
        <w:rPr>
          <w:szCs w:val="24"/>
        </w:rPr>
        <w:t>, supra at p. 699.) It is the 998 offeree who bears the burden of showing that an otherwise valid 998 offer was not made in good faith. (</w:t>
      </w:r>
      <w:r w:rsidRPr="006060A5">
        <w:rPr>
          <w:i/>
          <w:iCs/>
          <w:szCs w:val="24"/>
        </w:rPr>
        <w:t>Ibid</w:t>
      </w:r>
      <w:r w:rsidRPr="006060A5">
        <w:rPr>
          <w:szCs w:val="24"/>
        </w:rPr>
        <w:t>.) Whether a section 998 offer was reasonable and made in good faith is a matter left to the sound discretion of the trial court. (Covert, supra, 73 Cal.App.4th at p. 834.)</w:t>
      </w:r>
    </w:p>
    <w:p w14:paraId="42FE549C" w14:textId="77777777" w:rsidR="002B5791" w:rsidRPr="006060A5" w:rsidRDefault="002B5791" w:rsidP="00840306">
      <w:pPr>
        <w:jc w:val="both"/>
        <w:rPr>
          <w:szCs w:val="24"/>
        </w:rPr>
      </w:pPr>
    </w:p>
    <w:p w14:paraId="5FA53414" w14:textId="1322FC68" w:rsidR="00F82CFB" w:rsidRPr="006060A5" w:rsidRDefault="00F82CFB" w:rsidP="00F82CFB">
      <w:pPr>
        <w:ind w:firstLine="720"/>
        <w:jc w:val="both"/>
        <w:rPr>
          <w:szCs w:val="24"/>
        </w:rPr>
      </w:pPr>
      <w:r w:rsidRPr="006060A5">
        <w:rPr>
          <w:szCs w:val="24"/>
        </w:rPr>
        <w:t xml:space="preserve">How can Plaintiff possibly predict what </w:t>
      </w:r>
      <w:r w:rsidR="00636859" w:rsidRPr="006060A5">
        <w:rPr>
          <w:szCs w:val="24"/>
        </w:rPr>
        <w:t>they</w:t>
      </w:r>
      <w:r w:rsidRPr="006060A5">
        <w:rPr>
          <w:szCs w:val="24"/>
        </w:rPr>
        <w:t xml:space="preserve"> might receive at trial when </w:t>
      </w:r>
      <w:r w:rsidR="00636859" w:rsidRPr="006060A5">
        <w:rPr>
          <w:szCs w:val="24"/>
        </w:rPr>
        <w:t>they</w:t>
      </w:r>
      <w:r w:rsidRPr="006060A5">
        <w:rPr>
          <w:szCs w:val="24"/>
        </w:rPr>
        <w:t xml:space="preserve"> ha</w:t>
      </w:r>
      <w:r w:rsidR="00636859" w:rsidRPr="006060A5">
        <w:rPr>
          <w:szCs w:val="24"/>
        </w:rPr>
        <w:t>ve</w:t>
      </w:r>
      <w:r w:rsidRPr="006060A5">
        <w:rPr>
          <w:szCs w:val="24"/>
        </w:rPr>
        <w:t xml:space="preserve"> not received certain relevant discovery?  This discovery will assist Plaintiff in assessing Defendant’s civil penalty liability, which is necessary in light of the facts of this case.  </w:t>
      </w:r>
    </w:p>
    <w:p w14:paraId="63E6BEBF" w14:textId="77777777" w:rsidR="002B5791" w:rsidRPr="006060A5" w:rsidRDefault="002B5791" w:rsidP="00F82CFB">
      <w:pPr>
        <w:ind w:firstLine="720"/>
        <w:jc w:val="both"/>
        <w:rPr>
          <w:szCs w:val="24"/>
        </w:rPr>
      </w:pPr>
    </w:p>
    <w:p w14:paraId="501FA14F" w14:textId="687C2C56" w:rsidR="00840306" w:rsidRPr="006060A5" w:rsidRDefault="002B5791" w:rsidP="00840306">
      <w:pPr>
        <w:ind w:firstLine="720"/>
        <w:jc w:val="both"/>
        <w:rPr>
          <w:szCs w:val="24"/>
        </w:rPr>
      </w:pPr>
      <w:r w:rsidRPr="006060A5">
        <w:rPr>
          <w:szCs w:val="24"/>
        </w:rPr>
        <w:t>For example</w:t>
      </w:r>
      <w:r w:rsidR="00F82CFB" w:rsidRPr="006060A5">
        <w:rPr>
          <w:szCs w:val="24"/>
        </w:rPr>
        <w:t xml:space="preserve">, we have not yet received highly relevant discovery, including those related to its internal investigations and/or analyses of the Subject Vehicle’s defects, which would support its awareness and unjustified refusal to act (given that it was unable to repair the substantially impairing defects even after multiple repair attempts). </w:t>
      </w:r>
      <w:r w:rsidR="00840306" w:rsidRPr="006060A5">
        <w:rPr>
          <w:szCs w:val="24"/>
        </w:rPr>
        <w:t xml:space="preserve">Moreover, we have not received documents that involve communications between Defendant and its authorized dealership. There have been no documents produced relating to any communication between Plaintiff and the Defendant which is paramount to </w:t>
      </w:r>
      <w:r w:rsidR="00840306" w:rsidRPr="006060A5">
        <w:rPr>
          <w:szCs w:val="24"/>
        </w:rPr>
        <w:lastRenderedPageBreak/>
        <w:t xml:space="preserve">determining whether Defendant was on Notice of Plaintiff’s concerns.  </w:t>
      </w:r>
      <w:r w:rsidR="00F82CFB" w:rsidRPr="006060A5">
        <w:rPr>
          <w:szCs w:val="24"/>
        </w:rPr>
        <w:t xml:space="preserve">Such discovery is necessary to evaluate Defendant’s potential exposure and determine whether the current offer is fair and reasonable.   </w:t>
      </w:r>
    </w:p>
    <w:p w14:paraId="331C85BA" w14:textId="77777777" w:rsidR="002B5791" w:rsidRPr="006060A5" w:rsidRDefault="002B5791" w:rsidP="00F82CFB">
      <w:pPr>
        <w:ind w:firstLine="720"/>
        <w:jc w:val="both"/>
        <w:rPr>
          <w:szCs w:val="24"/>
        </w:rPr>
      </w:pPr>
    </w:p>
    <w:p w14:paraId="28337A26" w14:textId="6843034A" w:rsidR="00F82CFB" w:rsidRPr="006060A5" w:rsidRDefault="00F82CFB" w:rsidP="00F82CFB">
      <w:pPr>
        <w:ind w:firstLine="720"/>
        <w:jc w:val="both"/>
        <w:rPr>
          <w:szCs w:val="24"/>
          <w:lang w:bidi="en-US"/>
        </w:rPr>
      </w:pPr>
      <w:r w:rsidRPr="006060A5">
        <w:rPr>
          <w:szCs w:val="24"/>
        </w:rPr>
        <w:t xml:space="preserve">Furthermore, </w:t>
      </w:r>
      <w:r w:rsidRPr="006060A5">
        <w:rPr>
          <w:szCs w:val="24"/>
          <w:lang w:bidi="en-US"/>
        </w:rPr>
        <w:t xml:space="preserve">to date, Defendant has not admitted to liability in any regard nor produced documents related to its civil penalty liability.  </w:t>
      </w:r>
      <w:r w:rsidRPr="006060A5">
        <w:rPr>
          <w:i/>
          <w:szCs w:val="24"/>
        </w:rPr>
        <w:t>See, Jensen v. BMW of N. Am.</w:t>
      </w:r>
      <w:r w:rsidRPr="006060A5">
        <w:rPr>
          <w:szCs w:val="24"/>
        </w:rPr>
        <w:t>, 35 Cal.App.4th 112, 136 (1995) (holding that in light of the important deterrent effect of the civil penalty provision, evidence that “the manufacturer knew the vehicle had not been repaired within a reasonable period or after a reasonable number of attempts” is may be used to support civil penalties.)</w:t>
      </w:r>
      <w:r w:rsidRPr="006060A5">
        <w:rPr>
          <w:szCs w:val="24"/>
          <w:lang w:bidi="en-US"/>
        </w:rPr>
        <w:t> </w:t>
      </w:r>
    </w:p>
    <w:p w14:paraId="6DE21C1A" w14:textId="77777777" w:rsidR="002B5791" w:rsidRPr="006060A5" w:rsidRDefault="002B5791" w:rsidP="00F82CFB">
      <w:pPr>
        <w:ind w:firstLine="720"/>
        <w:jc w:val="both"/>
        <w:rPr>
          <w:szCs w:val="24"/>
        </w:rPr>
      </w:pPr>
    </w:p>
    <w:p w14:paraId="669351BD" w14:textId="165CF2B5" w:rsidR="008F02E4" w:rsidRPr="006060A5" w:rsidRDefault="00F82CFB" w:rsidP="00F82CFB">
      <w:pPr>
        <w:widowControl w:val="0"/>
        <w:ind w:firstLine="720"/>
        <w:jc w:val="both"/>
      </w:pPr>
      <w:r w:rsidRPr="006060A5">
        <w:rPr>
          <w:szCs w:val="24"/>
        </w:rPr>
        <w:t xml:space="preserve">As the offer stands, without additional information, Plaintiff cannot know if this offer is reasonable. A § 998 offer made without also providing the recipient the benefit of discovery has been deemed to be made in bad faith and invalid.  </w:t>
      </w:r>
      <w:r w:rsidRPr="006060A5">
        <w:rPr>
          <w:i/>
          <w:iCs/>
          <w:szCs w:val="24"/>
          <w:lang w:bidi="en-US"/>
        </w:rPr>
        <w:t>See Najera v. Huerta</w:t>
      </w:r>
      <w:r w:rsidRPr="006060A5">
        <w:rPr>
          <w:szCs w:val="24"/>
          <w:lang w:bidi="en-US"/>
        </w:rPr>
        <w:t>, 191 Cal. App.4th 874 (2011) (998 offer held invalid where offer was served and expired long before discovery could have been accomplished and there had been no informal, pre-litigation exchange of information).  Consequently, the offer is not reasonable as Plaintiff</w:t>
      </w:r>
      <w:r w:rsidRPr="006060A5">
        <w:rPr>
          <w:szCs w:val="24"/>
        </w:rPr>
        <w:t xml:space="preserve"> cannot fairly assess the § 998 Offer.</w:t>
      </w:r>
      <w:r w:rsidR="002B5791" w:rsidRPr="006060A5">
        <w:rPr>
          <w:szCs w:val="24"/>
        </w:rPr>
        <w:t xml:space="preserve"> </w:t>
      </w:r>
      <w:r w:rsidR="00612356" w:rsidRPr="006060A5">
        <w:t xml:space="preserve">Please contact me at your earliest convenience should you wish to further meet and confer on these matters. I look forward to hearing back from you. </w:t>
      </w:r>
    </w:p>
    <w:p w14:paraId="127B77BB" w14:textId="77777777" w:rsidR="008E7D17" w:rsidRPr="006060A5" w:rsidRDefault="008E7D17" w:rsidP="008515A8">
      <w:pPr>
        <w:widowControl w:val="0"/>
      </w:pPr>
    </w:p>
    <w:p w14:paraId="3895C538" w14:textId="61296D77" w:rsidR="00BE20DA" w:rsidRPr="006060A5" w:rsidRDefault="00BE20DA" w:rsidP="00BE20DA">
      <w:pPr>
        <w:spacing w:line="240" w:lineRule="exact"/>
        <w:rPr>
          <w:sz w:val="26"/>
          <w:szCs w:val="26"/>
        </w:rPr>
      </w:pPr>
      <w:r w:rsidRPr="006060A5">
        <w:rPr>
          <w:sz w:val="26"/>
          <w:szCs w:val="26"/>
        </w:rPr>
        <w:t xml:space="preserve">                                                                        Sincerely,</w:t>
      </w:r>
    </w:p>
    <w:p w14:paraId="64BBCBCF" w14:textId="3029A1F5" w:rsidR="00BE20DA" w:rsidRPr="006060A5" w:rsidRDefault="00BE20DA" w:rsidP="00BE20DA">
      <w:pPr>
        <w:spacing w:line="240" w:lineRule="exact"/>
        <w:rPr>
          <w:smallCaps/>
          <w:sz w:val="26"/>
          <w:szCs w:val="26"/>
        </w:rPr>
      </w:pPr>
      <w:r w:rsidRPr="006060A5">
        <w:rPr>
          <w:sz w:val="26"/>
          <w:szCs w:val="26"/>
        </w:rPr>
        <w:tab/>
        <w:t xml:space="preserve">                                                             </w:t>
      </w:r>
      <w:r w:rsidRPr="006060A5">
        <w:rPr>
          <w:b/>
          <w:bCs/>
          <w:smallCaps/>
          <w:sz w:val="26"/>
          <w:szCs w:val="26"/>
        </w:rPr>
        <w:t xml:space="preserve">Quill &amp; Arrow LLP </w:t>
      </w:r>
    </w:p>
    <w:p w14:paraId="1386B592" w14:textId="77777777" w:rsidR="00BE20DA" w:rsidRPr="006060A5" w:rsidRDefault="00BE20DA" w:rsidP="00BE20DA">
      <w:pPr>
        <w:ind w:right="180"/>
        <w:jc w:val="both"/>
        <w:rPr>
          <w:szCs w:val="24"/>
        </w:rPr>
      </w:pPr>
    </w:p>
    <w:p w14:paraId="31F04EB3" w14:textId="77777777" w:rsidR="00BE20DA" w:rsidRPr="006060A5" w:rsidRDefault="00BE20DA" w:rsidP="00BE20DA">
      <w:pPr>
        <w:ind w:right="180"/>
        <w:jc w:val="both"/>
        <w:rPr>
          <w:szCs w:val="24"/>
        </w:rPr>
      </w:pPr>
    </w:p>
    <w:p w14:paraId="6B07E664" w14:textId="3645A661" w:rsidR="00BE20DA" w:rsidRPr="006060A5" w:rsidRDefault="00BE20DA" w:rsidP="00BE20DA">
      <w:pPr>
        <w:ind w:right="180"/>
        <w:jc w:val="both"/>
        <w:rPr>
          <w:szCs w:val="24"/>
        </w:rPr>
      </w:pPr>
      <w:r w:rsidRPr="006060A5">
        <w:rPr>
          <w:szCs w:val="24"/>
        </w:rPr>
        <w:tab/>
        <w:t xml:space="preserve">                                                                  ________________________</w:t>
      </w:r>
      <w:r w:rsidRPr="006060A5">
        <w:rPr>
          <w:szCs w:val="24"/>
        </w:rPr>
        <w:tab/>
      </w:r>
      <w:r w:rsidRPr="006060A5">
        <w:rPr>
          <w:szCs w:val="24"/>
        </w:rPr>
        <w:tab/>
      </w:r>
    </w:p>
    <w:p w14:paraId="19E564E6" w14:textId="77777777" w:rsidR="006C5AA7" w:rsidRPr="006060A5" w:rsidRDefault="00BE20DA" w:rsidP="006C5AA7">
      <w:pPr>
        <w:widowControl w:val="0"/>
        <w:rPr>
          <w:szCs w:val="24"/>
        </w:rPr>
      </w:pPr>
      <w:bookmarkStart w:id="0" w:name="_Hlk138325551"/>
      <w:r w:rsidRPr="006060A5">
        <w:rPr>
          <w:szCs w:val="24"/>
        </w:rPr>
        <w:t xml:space="preserve">                                                                                </w:t>
      </w:r>
      <w:r w:rsidR="006C5AA7" w:rsidRPr="006060A5">
        <w:rPr>
          <w:szCs w:val="24"/>
          <w:lang w:val="fr-FR"/>
        </w:rPr>
        <w:t xml:space="preserve">&lt;&lt; </w:t>
      </w:r>
      <w:proofErr w:type="spellStart"/>
      <w:r w:rsidR="006C5AA7" w:rsidRPr="006060A5">
        <w:rPr>
          <w:szCs w:val="24"/>
          <w:lang w:val="fr-FR"/>
        </w:rPr>
        <w:t>Matter.ResponsibleAttorney</w:t>
      </w:r>
      <w:proofErr w:type="spellEnd"/>
      <w:r w:rsidR="006C5AA7" w:rsidRPr="006060A5">
        <w:rPr>
          <w:szCs w:val="24"/>
          <w:lang w:val="fr-FR"/>
        </w:rPr>
        <w:t xml:space="preserve"> &gt;&gt;</w:t>
      </w:r>
      <w:r w:rsidR="006C5AA7" w:rsidRPr="006060A5">
        <w:rPr>
          <w:szCs w:val="24"/>
        </w:rPr>
        <w:t xml:space="preserve">, </w:t>
      </w:r>
      <w:bookmarkEnd w:id="0"/>
      <w:r w:rsidR="006C5AA7" w:rsidRPr="006060A5">
        <w:rPr>
          <w:szCs w:val="24"/>
        </w:rPr>
        <w:t>Esq.</w:t>
      </w:r>
    </w:p>
    <w:p w14:paraId="133E48ED" w14:textId="105C815B" w:rsidR="000208A8" w:rsidRPr="006060A5" w:rsidRDefault="000208A8" w:rsidP="00D9022D">
      <w:pPr>
        <w:widowControl w:val="0"/>
      </w:pPr>
    </w:p>
    <w:sectPr w:rsidR="000208A8" w:rsidRPr="006060A5" w:rsidSect="00612356">
      <w:headerReference w:type="default" r:id="rId9"/>
      <w:headerReference w:type="first" r:id="rId10"/>
      <w:pgSz w:w="12240" w:h="15840" w:code="1"/>
      <w:pgMar w:top="1008" w:right="1296" w:bottom="1440" w:left="1296"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323406" w14:textId="77777777" w:rsidR="00A14FB5" w:rsidRDefault="00A14FB5">
      <w:r>
        <w:separator/>
      </w:r>
    </w:p>
  </w:endnote>
  <w:endnote w:type="continuationSeparator" w:id="0">
    <w:p w14:paraId="150F8F74" w14:textId="77777777" w:rsidR="00A14FB5" w:rsidRDefault="00A14F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EngraversGothic BT">
    <w:altName w:val="Arial"/>
    <w:charset w:val="00"/>
    <w:family w:val="swiss"/>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Serlio LH">
    <w:altName w:val="Cambria"/>
    <w:charset w:val="00"/>
    <w:family w:val="roman"/>
    <w:pitch w:val="variable"/>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56CFE6" w14:textId="77777777" w:rsidR="00A14FB5" w:rsidRDefault="00A14FB5">
      <w:r>
        <w:separator/>
      </w:r>
    </w:p>
  </w:footnote>
  <w:footnote w:type="continuationSeparator" w:id="0">
    <w:p w14:paraId="6C1A5633" w14:textId="77777777" w:rsidR="00A14FB5" w:rsidRDefault="00A14FB5">
      <w:r>
        <w:continuationSeparator/>
      </w:r>
    </w:p>
  </w:footnote>
  <w:footnote w:id="1">
    <w:p w14:paraId="43D649A9" w14:textId="77777777" w:rsidR="00F82CFB" w:rsidRPr="00C549EC" w:rsidRDefault="00F82CFB" w:rsidP="00F82CFB">
      <w:pPr>
        <w:pStyle w:val="FootnoteText"/>
      </w:pPr>
      <w:r>
        <w:rPr>
          <w:rStyle w:val="FootnoteReference"/>
        </w:rPr>
        <w:footnoteRef/>
      </w:r>
      <w:r>
        <w:t xml:space="preserve"> </w:t>
      </w:r>
      <w:r>
        <w:rPr>
          <w:i/>
        </w:rPr>
        <w:t>See</w:t>
      </w:r>
      <w:r>
        <w:t xml:space="preserve">, </w:t>
      </w:r>
      <w:r>
        <w:rPr>
          <w:i/>
        </w:rPr>
        <w:t>Johnson v. Ford Motor Company</w:t>
      </w:r>
      <w:r>
        <w:t>, 135 Cal.App.4th 137 (holding substantial evidence supported punitive damages award since internal policies to issue certificates in lieu of repurchases was designed to short circuit the lemon law and avoid branding and notice requirements).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5A6A7D" w14:textId="27761665" w:rsidR="00612356" w:rsidRPr="00612356" w:rsidRDefault="00612356" w:rsidP="00612356">
    <w:pPr>
      <w:rPr>
        <w:szCs w:val="24"/>
      </w:rPr>
    </w:pPr>
    <w:r w:rsidRPr="00612356">
      <w:rPr>
        <w:szCs w:val="24"/>
      </w:rPr>
      <w:t xml:space="preserve">Re: </w:t>
    </w:r>
    <w:bookmarkStart w:id="1" w:name="_Hlk138325577"/>
    <w:r w:rsidR="00D733D3">
      <w:rPr>
        <w:i/>
      </w:rPr>
      <w:t xml:space="preserve">&lt;&lt; </w:t>
    </w:r>
    <w:proofErr w:type="spellStart"/>
    <w:proofErr w:type="gramStart"/>
    <w:r w:rsidR="00D733D3">
      <w:rPr>
        <w:i/>
      </w:rPr>
      <w:t>Matter.CustomField.CaseNameShort</w:t>
    </w:r>
    <w:proofErr w:type="spellEnd"/>
    <w:proofErr w:type="gramEnd"/>
    <w:r w:rsidR="00D733D3">
      <w:rPr>
        <w:i/>
      </w:rPr>
      <w:t xml:space="preserve"> &gt;&gt;</w:t>
    </w:r>
    <w:bookmarkEnd w:id="1"/>
  </w:p>
  <w:p w14:paraId="43E42CFD" w14:textId="481D62B9" w:rsidR="004210BB" w:rsidRPr="00612356" w:rsidRDefault="00612356" w:rsidP="00612356">
    <w:pPr>
      <w:rPr>
        <w:szCs w:val="24"/>
      </w:rPr>
    </w:pPr>
    <w:r w:rsidRPr="00612356">
      <w:rPr>
        <w:szCs w:val="24"/>
      </w:rPr>
      <w:fldChar w:fldCharType="begin"/>
    </w:r>
    <w:r w:rsidRPr="00612356">
      <w:rPr>
        <w:szCs w:val="24"/>
      </w:rPr>
      <w:instrText xml:space="preserve"> TIME \@ "MMMM d, yyyy" </w:instrText>
    </w:r>
    <w:r w:rsidRPr="00612356">
      <w:rPr>
        <w:szCs w:val="24"/>
      </w:rPr>
      <w:fldChar w:fldCharType="separate"/>
    </w:r>
    <w:r w:rsidR="001971FC">
      <w:rPr>
        <w:noProof/>
        <w:szCs w:val="24"/>
      </w:rPr>
      <w:t>February 26, 2024</w:t>
    </w:r>
    <w:r w:rsidRPr="00612356">
      <w:rPr>
        <w:szCs w:val="24"/>
      </w:rPr>
      <w:fldChar w:fldCharType="end"/>
    </w:r>
  </w:p>
  <w:p w14:paraId="417D3D7E" w14:textId="77777777" w:rsidR="00612356" w:rsidRDefault="00612356" w:rsidP="0061235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89AC40" w14:textId="68339D2C" w:rsidR="000253D0" w:rsidRPr="00280C9A" w:rsidRDefault="000253D0" w:rsidP="00297683">
    <w:pPr>
      <w:jc w:val="center"/>
      <w:rPr>
        <w:rFonts w:ascii="Serlio LH" w:hAnsi="Serlio LH"/>
        <w:color w:val="7F7F7F" w:themeColor="text1" w:themeTint="80"/>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472FEC"/>
    <w:multiLevelType w:val="hybridMultilevel"/>
    <w:tmpl w:val="950A1EA0"/>
    <w:lvl w:ilvl="0" w:tplc="24B6E3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9C129DE"/>
    <w:multiLevelType w:val="singleLevel"/>
    <w:tmpl w:val="0409000F"/>
    <w:lvl w:ilvl="0">
      <w:start w:val="1"/>
      <w:numFmt w:val="decimal"/>
      <w:lvlText w:val="%1."/>
      <w:lvlJc w:val="left"/>
      <w:pPr>
        <w:tabs>
          <w:tab w:val="num" w:pos="360"/>
        </w:tabs>
        <w:ind w:left="360" w:hanging="360"/>
      </w:pPr>
    </w:lvl>
  </w:abstractNum>
  <w:abstractNum w:abstractNumId="2" w15:restartNumberingAfterBreak="0">
    <w:nsid w:val="2E164282"/>
    <w:multiLevelType w:val="multilevel"/>
    <w:tmpl w:val="5C8602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3E76356"/>
    <w:multiLevelType w:val="hybridMultilevel"/>
    <w:tmpl w:val="38F0CEDA"/>
    <w:lvl w:ilvl="0" w:tplc="38265AEC">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863089515">
    <w:abstractNumId w:val="1"/>
  </w:num>
  <w:num w:numId="2" w16cid:durableId="1944722921">
    <w:abstractNumId w:val="2"/>
  </w:num>
  <w:num w:numId="3" w16cid:durableId="1321348892">
    <w:abstractNumId w:val="0"/>
  </w:num>
  <w:num w:numId="4" w16cid:durableId="19118411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39"/>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DUzN7O0NLYAsoxNzZR0lIJTi4sz8/NACoxqAfhaIvUsAAAA"/>
    <w:docVar w:name="SWDocIDDate" w:val="0"/>
    <w:docVar w:name="SWDocIDLocation" w:val="3"/>
  </w:docVars>
  <w:rsids>
    <w:rsidRoot w:val="00193923"/>
    <w:rsid w:val="0000138D"/>
    <w:rsid w:val="00006405"/>
    <w:rsid w:val="00012FBE"/>
    <w:rsid w:val="000208A8"/>
    <w:rsid w:val="000253D0"/>
    <w:rsid w:val="000346D4"/>
    <w:rsid w:val="00040293"/>
    <w:rsid w:val="00041967"/>
    <w:rsid w:val="0005453D"/>
    <w:rsid w:val="00056E51"/>
    <w:rsid w:val="000678BD"/>
    <w:rsid w:val="000740BD"/>
    <w:rsid w:val="000773C7"/>
    <w:rsid w:val="0008424A"/>
    <w:rsid w:val="000A04B5"/>
    <w:rsid w:val="000B10DA"/>
    <w:rsid w:val="000E3166"/>
    <w:rsid w:val="00104F63"/>
    <w:rsid w:val="001153AD"/>
    <w:rsid w:val="001231E7"/>
    <w:rsid w:val="00132B96"/>
    <w:rsid w:val="0013451D"/>
    <w:rsid w:val="00134881"/>
    <w:rsid w:val="00151766"/>
    <w:rsid w:val="0015645C"/>
    <w:rsid w:val="00163AA8"/>
    <w:rsid w:val="001718E6"/>
    <w:rsid w:val="00173D1A"/>
    <w:rsid w:val="00184C7B"/>
    <w:rsid w:val="00192520"/>
    <w:rsid w:val="00193923"/>
    <w:rsid w:val="001956D8"/>
    <w:rsid w:val="001971FC"/>
    <w:rsid w:val="00197AF2"/>
    <w:rsid w:val="001A3D76"/>
    <w:rsid w:val="001A5149"/>
    <w:rsid w:val="001B0B51"/>
    <w:rsid w:val="001B6269"/>
    <w:rsid w:val="001C3861"/>
    <w:rsid w:val="001C5CB0"/>
    <w:rsid w:val="001D0040"/>
    <w:rsid w:val="001D1F77"/>
    <w:rsid w:val="001D775D"/>
    <w:rsid w:val="001E112D"/>
    <w:rsid w:val="001E1330"/>
    <w:rsid w:val="001E1A66"/>
    <w:rsid w:val="001E2759"/>
    <w:rsid w:val="001E4207"/>
    <w:rsid w:val="001E7980"/>
    <w:rsid w:val="001F321C"/>
    <w:rsid w:val="001F4FF6"/>
    <w:rsid w:val="001F6AD1"/>
    <w:rsid w:val="00201F93"/>
    <w:rsid w:val="002040B2"/>
    <w:rsid w:val="002074EB"/>
    <w:rsid w:val="00207AB7"/>
    <w:rsid w:val="00212DA8"/>
    <w:rsid w:val="00212DCB"/>
    <w:rsid w:val="00214233"/>
    <w:rsid w:val="00216609"/>
    <w:rsid w:val="002229B8"/>
    <w:rsid w:val="00224C4D"/>
    <w:rsid w:val="00232B91"/>
    <w:rsid w:val="00262445"/>
    <w:rsid w:val="0026310A"/>
    <w:rsid w:val="00263572"/>
    <w:rsid w:val="0026506C"/>
    <w:rsid w:val="00276A65"/>
    <w:rsid w:val="00280C9A"/>
    <w:rsid w:val="00281203"/>
    <w:rsid w:val="00282129"/>
    <w:rsid w:val="002833DC"/>
    <w:rsid w:val="00283CCB"/>
    <w:rsid w:val="00297683"/>
    <w:rsid w:val="002A4B01"/>
    <w:rsid w:val="002B0603"/>
    <w:rsid w:val="002B1A0E"/>
    <w:rsid w:val="002B5791"/>
    <w:rsid w:val="002D0DAC"/>
    <w:rsid w:val="002D0F7C"/>
    <w:rsid w:val="002D1C46"/>
    <w:rsid w:val="002E2620"/>
    <w:rsid w:val="002E3014"/>
    <w:rsid w:val="002F2014"/>
    <w:rsid w:val="002F3EBD"/>
    <w:rsid w:val="00300D90"/>
    <w:rsid w:val="003045E5"/>
    <w:rsid w:val="003103E9"/>
    <w:rsid w:val="00310D97"/>
    <w:rsid w:val="003132C8"/>
    <w:rsid w:val="0031446F"/>
    <w:rsid w:val="003146BF"/>
    <w:rsid w:val="00322BF9"/>
    <w:rsid w:val="00323594"/>
    <w:rsid w:val="003267CF"/>
    <w:rsid w:val="0032754C"/>
    <w:rsid w:val="0032755D"/>
    <w:rsid w:val="00332A82"/>
    <w:rsid w:val="00341178"/>
    <w:rsid w:val="0035396F"/>
    <w:rsid w:val="003677CA"/>
    <w:rsid w:val="00380089"/>
    <w:rsid w:val="0038647C"/>
    <w:rsid w:val="00391B9A"/>
    <w:rsid w:val="003978E3"/>
    <w:rsid w:val="003B5CF8"/>
    <w:rsid w:val="003B71CE"/>
    <w:rsid w:val="003C276A"/>
    <w:rsid w:val="003D3547"/>
    <w:rsid w:val="003E5F07"/>
    <w:rsid w:val="00403D1D"/>
    <w:rsid w:val="0041513F"/>
    <w:rsid w:val="004210BB"/>
    <w:rsid w:val="004229AE"/>
    <w:rsid w:val="0043636B"/>
    <w:rsid w:val="00455CBC"/>
    <w:rsid w:val="00464B35"/>
    <w:rsid w:val="00475342"/>
    <w:rsid w:val="00476592"/>
    <w:rsid w:val="00476931"/>
    <w:rsid w:val="00480AF0"/>
    <w:rsid w:val="00490B13"/>
    <w:rsid w:val="00490E23"/>
    <w:rsid w:val="00496062"/>
    <w:rsid w:val="004A6858"/>
    <w:rsid w:val="004B2534"/>
    <w:rsid w:val="004B2621"/>
    <w:rsid w:val="004B56F1"/>
    <w:rsid w:val="004B5EF4"/>
    <w:rsid w:val="004C00DD"/>
    <w:rsid w:val="004E1312"/>
    <w:rsid w:val="004F4970"/>
    <w:rsid w:val="004F5E5E"/>
    <w:rsid w:val="00503042"/>
    <w:rsid w:val="005030DB"/>
    <w:rsid w:val="00503362"/>
    <w:rsid w:val="00506814"/>
    <w:rsid w:val="0052010E"/>
    <w:rsid w:val="005271D7"/>
    <w:rsid w:val="005303D6"/>
    <w:rsid w:val="00530B14"/>
    <w:rsid w:val="00552514"/>
    <w:rsid w:val="00552E1C"/>
    <w:rsid w:val="00556D62"/>
    <w:rsid w:val="005678F5"/>
    <w:rsid w:val="00572680"/>
    <w:rsid w:val="00572FB7"/>
    <w:rsid w:val="00585446"/>
    <w:rsid w:val="005854DC"/>
    <w:rsid w:val="0059022D"/>
    <w:rsid w:val="005A17CB"/>
    <w:rsid w:val="005A2EE7"/>
    <w:rsid w:val="005A6ED9"/>
    <w:rsid w:val="005C2E3E"/>
    <w:rsid w:val="005C36DD"/>
    <w:rsid w:val="005C3AC6"/>
    <w:rsid w:val="005D19F1"/>
    <w:rsid w:val="005D5BD8"/>
    <w:rsid w:val="00601302"/>
    <w:rsid w:val="006026C3"/>
    <w:rsid w:val="00602DBC"/>
    <w:rsid w:val="006060A5"/>
    <w:rsid w:val="0061012E"/>
    <w:rsid w:val="00611AA2"/>
    <w:rsid w:val="00612356"/>
    <w:rsid w:val="00613F5D"/>
    <w:rsid w:val="00620FE4"/>
    <w:rsid w:val="00623854"/>
    <w:rsid w:val="006318C3"/>
    <w:rsid w:val="00634069"/>
    <w:rsid w:val="00636387"/>
    <w:rsid w:val="00636859"/>
    <w:rsid w:val="00645254"/>
    <w:rsid w:val="00646C2B"/>
    <w:rsid w:val="00685E14"/>
    <w:rsid w:val="00690395"/>
    <w:rsid w:val="006A0854"/>
    <w:rsid w:val="006B01C9"/>
    <w:rsid w:val="006B7124"/>
    <w:rsid w:val="006B7C01"/>
    <w:rsid w:val="006B7FE5"/>
    <w:rsid w:val="006C5AA7"/>
    <w:rsid w:val="006D0B4E"/>
    <w:rsid w:val="006E0B49"/>
    <w:rsid w:val="006E3199"/>
    <w:rsid w:val="006F5EF8"/>
    <w:rsid w:val="006F76B1"/>
    <w:rsid w:val="007031CD"/>
    <w:rsid w:val="00711719"/>
    <w:rsid w:val="00714602"/>
    <w:rsid w:val="00715ACF"/>
    <w:rsid w:val="0072448A"/>
    <w:rsid w:val="0073119C"/>
    <w:rsid w:val="0073211B"/>
    <w:rsid w:val="0076353E"/>
    <w:rsid w:val="007641FD"/>
    <w:rsid w:val="00764A5F"/>
    <w:rsid w:val="007700FA"/>
    <w:rsid w:val="007800FA"/>
    <w:rsid w:val="007819C4"/>
    <w:rsid w:val="007A0493"/>
    <w:rsid w:val="007B6916"/>
    <w:rsid w:val="007C4AFD"/>
    <w:rsid w:val="007D0392"/>
    <w:rsid w:val="007E2A9D"/>
    <w:rsid w:val="007E30BF"/>
    <w:rsid w:val="007F1942"/>
    <w:rsid w:val="007F445D"/>
    <w:rsid w:val="007F4530"/>
    <w:rsid w:val="007F77C9"/>
    <w:rsid w:val="0080160E"/>
    <w:rsid w:val="008038F1"/>
    <w:rsid w:val="00814869"/>
    <w:rsid w:val="00815FF1"/>
    <w:rsid w:val="00822328"/>
    <w:rsid w:val="00834B28"/>
    <w:rsid w:val="008350EE"/>
    <w:rsid w:val="00840306"/>
    <w:rsid w:val="0084680D"/>
    <w:rsid w:val="008502CD"/>
    <w:rsid w:val="008515A8"/>
    <w:rsid w:val="00864896"/>
    <w:rsid w:val="00866FC8"/>
    <w:rsid w:val="00867367"/>
    <w:rsid w:val="00871FD1"/>
    <w:rsid w:val="00872B4D"/>
    <w:rsid w:val="008748D4"/>
    <w:rsid w:val="00892BF5"/>
    <w:rsid w:val="008A17E6"/>
    <w:rsid w:val="008A40F3"/>
    <w:rsid w:val="008B011C"/>
    <w:rsid w:val="008B2DAD"/>
    <w:rsid w:val="008B3A31"/>
    <w:rsid w:val="008B74DA"/>
    <w:rsid w:val="008C3CA3"/>
    <w:rsid w:val="008C3F8F"/>
    <w:rsid w:val="008D78A3"/>
    <w:rsid w:val="008E0EED"/>
    <w:rsid w:val="008E5369"/>
    <w:rsid w:val="008E5D93"/>
    <w:rsid w:val="008E7D17"/>
    <w:rsid w:val="008F02E4"/>
    <w:rsid w:val="008F2104"/>
    <w:rsid w:val="00906441"/>
    <w:rsid w:val="009128A0"/>
    <w:rsid w:val="00913B0E"/>
    <w:rsid w:val="0091415E"/>
    <w:rsid w:val="009275CC"/>
    <w:rsid w:val="009348D3"/>
    <w:rsid w:val="0093711D"/>
    <w:rsid w:val="00937DD8"/>
    <w:rsid w:val="009506A4"/>
    <w:rsid w:val="0096462F"/>
    <w:rsid w:val="00973F49"/>
    <w:rsid w:val="00974E22"/>
    <w:rsid w:val="009804D0"/>
    <w:rsid w:val="00991B1C"/>
    <w:rsid w:val="00992FDA"/>
    <w:rsid w:val="00993901"/>
    <w:rsid w:val="009A02EA"/>
    <w:rsid w:val="009A43DF"/>
    <w:rsid w:val="009B43DF"/>
    <w:rsid w:val="009C0017"/>
    <w:rsid w:val="009C2398"/>
    <w:rsid w:val="009C5928"/>
    <w:rsid w:val="009D0469"/>
    <w:rsid w:val="009E1F75"/>
    <w:rsid w:val="00A12B84"/>
    <w:rsid w:val="00A14FB5"/>
    <w:rsid w:val="00A302F2"/>
    <w:rsid w:val="00A31289"/>
    <w:rsid w:val="00A340CB"/>
    <w:rsid w:val="00A34F8C"/>
    <w:rsid w:val="00A3596D"/>
    <w:rsid w:val="00A4023F"/>
    <w:rsid w:val="00A71EA0"/>
    <w:rsid w:val="00A8271E"/>
    <w:rsid w:val="00A90EDB"/>
    <w:rsid w:val="00AA0FF0"/>
    <w:rsid w:val="00AA722E"/>
    <w:rsid w:val="00AA76E1"/>
    <w:rsid w:val="00AC4964"/>
    <w:rsid w:val="00AD1206"/>
    <w:rsid w:val="00AD1ED5"/>
    <w:rsid w:val="00AD3493"/>
    <w:rsid w:val="00AD4024"/>
    <w:rsid w:val="00AE0821"/>
    <w:rsid w:val="00AE4175"/>
    <w:rsid w:val="00AF5163"/>
    <w:rsid w:val="00B11BB2"/>
    <w:rsid w:val="00B13F58"/>
    <w:rsid w:val="00B14D23"/>
    <w:rsid w:val="00B15530"/>
    <w:rsid w:val="00B17030"/>
    <w:rsid w:val="00B40AB3"/>
    <w:rsid w:val="00B50248"/>
    <w:rsid w:val="00B62643"/>
    <w:rsid w:val="00B62C59"/>
    <w:rsid w:val="00B63CC4"/>
    <w:rsid w:val="00B6758B"/>
    <w:rsid w:val="00B733C4"/>
    <w:rsid w:val="00B82FF1"/>
    <w:rsid w:val="00B845C0"/>
    <w:rsid w:val="00BA2ABB"/>
    <w:rsid w:val="00BC7D29"/>
    <w:rsid w:val="00BD0AF9"/>
    <w:rsid w:val="00BD3D55"/>
    <w:rsid w:val="00BD3DCB"/>
    <w:rsid w:val="00BD7D54"/>
    <w:rsid w:val="00BE07E4"/>
    <w:rsid w:val="00BE20DA"/>
    <w:rsid w:val="00BE2100"/>
    <w:rsid w:val="00BE3B27"/>
    <w:rsid w:val="00BF0E93"/>
    <w:rsid w:val="00BF2573"/>
    <w:rsid w:val="00BF77B8"/>
    <w:rsid w:val="00C02CD9"/>
    <w:rsid w:val="00C06177"/>
    <w:rsid w:val="00C063E7"/>
    <w:rsid w:val="00C217F8"/>
    <w:rsid w:val="00C34AEF"/>
    <w:rsid w:val="00C51BCC"/>
    <w:rsid w:val="00C52705"/>
    <w:rsid w:val="00C6579C"/>
    <w:rsid w:val="00C74307"/>
    <w:rsid w:val="00C77EDC"/>
    <w:rsid w:val="00C83748"/>
    <w:rsid w:val="00C84B8B"/>
    <w:rsid w:val="00CA2C78"/>
    <w:rsid w:val="00CA7BF8"/>
    <w:rsid w:val="00CB6446"/>
    <w:rsid w:val="00CB6505"/>
    <w:rsid w:val="00CC6E4B"/>
    <w:rsid w:val="00CD40B1"/>
    <w:rsid w:val="00CE149E"/>
    <w:rsid w:val="00CE5B62"/>
    <w:rsid w:val="00CE73CE"/>
    <w:rsid w:val="00CF53A5"/>
    <w:rsid w:val="00D224AA"/>
    <w:rsid w:val="00D42055"/>
    <w:rsid w:val="00D4635B"/>
    <w:rsid w:val="00D57FE1"/>
    <w:rsid w:val="00D6115A"/>
    <w:rsid w:val="00D733D3"/>
    <w:rsid w:val="00D75CB1"/>
    <w:rsid w:val="00D8054E"/>
    <w:rsid w:val="00D868F5"/>
    <w:rsid w:val="00D9022D"/>
    <w:rsid w:val="00D91072"/>
    <w:rsid w:val="00D927DC"/>
    <w:rsid w:val="00D93372"/>
    <w:rsid w:val="00DC262D"/>
    <w:rsid w:val="00DC5A92"/>
    <w:rsid w:val="00DC691C"/>
    <w:rsid w:val="00DD2AA5"/>
    <w:rsid w:val="00DD5CF2"/>
    <w:rsid w:val="00DE15CD"/>
    <w:rsid w:val="00DE4534"/>
    <w:rsid w:val="00DF1CC5"/>
    <w:rsid w:val="00E019FB"/>
    <w:rsid w:val="00E01A77"/>
    <w:rsid w:val="00E1210A"/>
    <w:rsid w:val="00E14FD2"/>
    <w:rsid w:val="00E21DD5"/>
    <w:rsid w:val="00E25704"/>
    <w:rsid w:val="00E47F24"/>
    <w:rsid w:val="00E5212C"/>
    <w:rsid w:val="00E575D2"/>
    <w:rsid w:val="00E75559"/>
    <w:rsid w:val="00E76FA3"/>
    <w:rsid w:val="00E77739"/>
    <w:rsid w:val="00E81B56"/>
    <w:rsid w:val="00E92FAE"/>
    <w:rsid w:val="00EA45CB"/>
    <w:rsid w:val="00EA5F16"/>
    <w:rsid w:val="00EC0849"/>
    <w:rsid w:val="00EC4FBD"/>
    <w:rsid w:val="00EC6F9B"/>
    <w:rsid w:val="00EE410C"/>
    <w:rsid w:val="00EE6329"/>
    <w:rsid w:val="00F127C7"/>
    <w:rsid w:val="00F14AE2"/>
    <w:rsid w:val="00F27F02"/>
    <w:rsid w:val="00F351C6"/>
    <w:rsid w:val="00F37841"/>
    <w:rsid w:val="00F52579"/>
    <w:rsid w:val="00F544EA"/>
    <w:rsid w:val="00F56B7E"/>
    <w:rsid w:val="00F57EC1"/>
    <w:rsid w:val="00F669B8"/>
    <w:rsid w:val="00F733DA"/>
    <w:rsid w:val="00F76116"/>
    <w:rsid w:val="00F82CFB"/>
    <w:rsid w:val="00F84B07"/>
    <w:rsid w:val="00F87BEE"/>
    <w:rsid w:val="00F919E9"/>
    <w:rsid w:val="00FA2D63"/>
    <w:rsid w:val="00FA4E98"/>
    <w:rsid w:val="00FB0F61"/>
    <w:rsid w:val="00FD7151"/>
    <w:rsid w:val="00FF2867"/>
    <w:rsid w:val="00FF499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FB3A68"/>
  <w15:chartTrackingRefBased/>
  <w15:docId w15:val="{F9823F9D-6734-2942-BB8D-0155F5B22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HTML Typewriter" w:semiHidden="1" w:unhideWhenUsed="1"/>
    <w:lsdException w:name="HTML Variable"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41178"/>
    <w:rPr>
      <w:sz w:val="24"/>
      <w:lang w:eastAsia="en-US"/>
    </w:rPr>
  </w:style>
  <w:style w:type="paragraph" w:styleId="Heading1">
    <w:name w:val="heading 1"/>
    <w:basedOn w:val="Normal"/>
    <w:next w:val="Normal"/>
    <w:qFormat/>
    <w:pPr>
      <w:keepNext/>
      <w:ind w:left="106" w:right="106"/>
      <w:jc w:val="center"/>
      <w:outlineLvl w:val="0"/>
    </w:pPr>
    <w:rPr>
      <w:b/>
      <w:bCs/>
      <w:smallCaps/>
      <w:w w:val="150"/>
      <w:sz w:val="22"/>
      <w:szCs w:val="24"/>
    </w:rPr>
  </w:style>
  <w:style w:type="paragraph" w:styleId="Heading3">
    <w:name w:val="heading 3"/>
    <w:basedOn w:val="Normal"/>
    <w:next w:val="Normal"/>
    <w:link w:val="Heading3Char"/>
    <w:semiHidden/>
    <w:unhideWhenUsed/>
    <w:qFormat/>
    <w:rsid w:val="00A8271E"/>
    <w:pPr>
      <w:keepNext/>
      <w:keepLines/>
      <w:spacing w:before="4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lock1">
    <w:name w:val="Block1"/>
    <w:aliases w:val="bl1"/>
    <w:basedOn w:val="Normal"/>
    <w:pPr>
      <w:spacing w:after="240"/>
      <w:ind w:left="720" w:right="720"/>
    </w:pPr>
  </w:style>
  <w:style w:type="paragraph" w:customStyle="1" w:styleId="Block2">
    <w:name w:val="Block2"/>
    <w:aliases w:val="bl2"/>
    <w:basedOn w:val="Normal"/>
    <w:pPr>
      <w:spacing w:after="240"/>
      <w:ind w:left="1440" w:right="1440"/>
    </w:pPr>
  </w:style>
  <w:style w:type="paragraph" w:customStyle="1" w:styleId="Body">
    <w:name w:val="Body"/>
    <w:aliases w:val="b"/>
    <w:basedOn w:val="Normal"/>
    <w:pPr>
      <w:spacing w:after="240"/>
    </w:pPr>
  </w:style>
  <w:style w:type="paragraph" w:customStyle="1" w:styleId="BodyFI1">
    <w:name w:val="BodyFI1"/>
    <w:aliases w:val="bf1"/>
    <w:basedOn w:val="Normal"/>
    <w:pPr>
      <w:spacing w:after="240"/>
      <w:ind w:firstLine="720"/>
    </w:pPr>
  </w:style>
  <w:style w:type="paragraph" w:customStyle="1" w:styleId="BodyFI2">
    <w:name w:val="BodyFI2"/>
    <w:aliases w:val="bf2"/>
    <w:basedOn w:val="Normal"/>
    <w:pPr>
      <w:spacing w:after="240"/>
      <w:ind w:firstLine="1440"/>
    </w:pPr>
  </w:style>
  <w:style w:type="paragraph" w:customStyle="1" w:styleId="BodyFI3">
    <w:name w:val="BodyFI3"/>
    <w:aliases w:val="bf3"/>
    <w:basedOn w:val="Normal"/>
    <w:pPr>
      <w:spacing w:after="240"/>
      <w:ind w:left="720" w:firstLine="720"/>
    </w:pPr>
  </w:style>
  <w:style w:type="paragraph" w:customStyle="1" w:styleId="BodyFI4">
    <w:name w:val="BodyFI4"/>
    <w:aliases w:val="bf4"/>
    <w:basedOn w:val="Normal"/>
    <w:pPr>
      <w:spacing w:after="240"/>
      <w:ind w:left="720" w:firstLine="1440"/>
    </w:pPr>
  </w:style>
  <w:style w:type="paragraph" w:customStyle="1" w:styleId="BodyFI5">
    <w:name w:val="BodyFI5"/>
    <w:aliases w:val="bf5"/>
    <w:basedOn w:val="BodyTextIndent2"/>
    <w:pPr>
      <w:spacing w:after="240" w:line="240" w:lineRule="auto"/>
      <w:ind w:left="1440" w:firstLine="720"/>
    </w:pPr>
  </w:style>
  <w:style w:type="paragraph" w:styleId="BodyTextIndent2">
    <w:name w:val="Body Text Indent 2"/>
    <w:basedOn w:val="Normal"/>
    <w:pPr>
      <w:spacing w:after="120" w:line="480" w:lineRule="auto"/>
      <w:ind w:left="360"/>
    </w:pPr>
  </w:style>
  <w:style w:type="paragraph" w:customStyle="1" w:styleId="BodyFI6">
    <w:name w:val="BodyFI6"/>
    <w:aliases w:val="bf6"/>
    <w:basedOn w:val="BodyTextIndent2"/>
    <w:pPr>
      <w:spacing w:after="240" w:line="240" w:lineRule="auto"/>
      <w:ind w:left="1440" w:firstLine="1440"/>
    </w:pPr>
  </w:style>
  <w:style w:type="paragraph" w:customStyle="1" w:styleId="BodyInd1">
    <w:name w:val="BodyInd1"/>
    <w:aliases w:val="bi1"/>
    <w:basedOn w:val="Normal"/>
    <w:pPr>
      <w:spacing w:after="240"/>
      <w:ind w:left="720"/>
    </w:pPr>
  </w:style>
  <w:style w:type="paragraph" w:customStyle="1" w:styleId="BodyInd2">
    <w:name w:val="BodyInd2"/>
    <w:aliases w:val="bi2"/>
    <w:basedOn w:val="Normal"/>
    <w:pPr>
      <w:spacing w:after="240"/>
      <w:ind w:left="1440"/>
    </w:pPr>
  </w:style>
  <w:style w:type="paragraph" w:styleId="Closing">
    <w:name w:val="Closing"/>
    <w:aliases w:val="c"/>
    <w:basedOn w:val="Normal"/>
    <w:pPr>
      <w:keepNext/>
      <w:ind w:left="4320"/>
    </w:pPr>
  </w:style>
  <w:style w:type="paragraph" w:customStyle="1" w:styleId="DBlock1">
    <w:name w:val="DBlock1"/>
    <w:aliases w:val="dl1"/>
    <w:basedOn w:val="Block1"/>
    <w:pPr>
      <w:spacing w:after="0" w:line="480" w:lineRule="auto"/>
    </w:pPr>
  </w:style>
  <w:style w:type="paragraph" w:customStyle="1" w:styleId="DBlock2">
    <w:name w:val="DBlock2"/>
    <w:aliases w:val="dl2"/>
    <w:basedOn w:val="Block2"/>
    <w:pPr>
      <w:spacing w:after="0" w:line="480" w:lineRule="auto"/>
    </w:pPr>
  </w:style>
  <w:style w:type="paragraph" w:customStyle="1" w:styleId="DBody">
    <w:name w:val="DBody"/>
    <w:aliases w:val="d"/>
    <w:basedOn w:val="Body"/>
    <w:pPr>
      <w:spacing w:after="0" w:line="480" w:lineRule="auto"/>
    </w:pPr>
  </w:style>
  <w:style w:type="paragraph" w:customStyle="1" w:styleId="DBodyFI1">
    <w:name w:val="DBodyFI1"/>
    <w:aliases w:val="df1"/>
    <w:basedOn w:val="BodyFI1"/>
    <w:pPr>
      <w:spacing w:after="0" w:line="480" w:lineRule="auto"/>
    </w:pPr>
  </w:style>
  <w:style w:type="paragraph" w:customStyle="1" w:styleId="DBodyFI2">
    <w:name w:val="DBodyFI2"/>
    <w:aliases w:val="df2"/>
    <w:basedOn w:val="BodyFI2"/>
    <w:pPr>
      <w:spacing w:after="0" w:line="480" w:lineRule="auto"/>
    </w:pPr>
  </w:style>
  <w:style w:type="paragraph" w:customStyle="1" w:styleId="DBodyFI3">
    <w:name w:val="DBodyFI3"/>
    <w:aliases w:val="df3"/>
    <w:basedOn w:val="BodyFI3"/>
    <w:pPr>
      <w:spacing w:after="0" w:line="480" w:lineRule="auto"/>
    </w:pPr>
  </w:style>
  <w:style w:type="paragraph" w:customStyle="1" w:styleId="DBodyFI4">
    <w:name w:val="DBodyFI4"/>
    <w:aliases w:val="df4"/>
    <w:basedOn w:val="BodyFI4"/>
    <w:pPr>
      <w:spacing w:after="0" w:line="480" w:lineRule="auto"/>
    </w:pPr>
  </w:style>
  <w:style w:type="paragraph" w:customStyle="1" w:styleId="DBodyFI5">
    <w:name w:val="DBodyFI5"/>
    <w:aliases w:val="df5"/>
    <w:basedOn w:val="BodyFI5"/>
    <w:pPr>
      <w:spacing w:after="0" w:line="480" w:lineRule="auto"/>
    </w:pPr>
  </w:style>
  <w:style w:type="paragraph" w:customStyle="1" w:styleId="DBodyFI6">
    <w:name w:val="DBodyFI6"/>
    <w:aliases w:val="df6"/>
    <w:basedOn w:val="BodyFI6"/>
    <w:pPr>
      <w:spacing w:after="0" w:line="480" w:lineRule="auto"/>
    </w:pPr>
  </w:style>
  <w:style w:type="paragraph" w:customStyle="1" w:styleId="DBodyInd1">
    <w:name w:val="DBodyInd1"/>
    <w:aliases w:val="di1"/>
    <w:basedOn w:val="BodyInd1"/>
    <w:pPr>
      <w:spacing w:after="0" w:line="480" w:lineRule="auto"/>
    </w:pPr>
  </w:style>
  <w:style w:type="paragraph" w:customStyle="1" w:styleId="DBodyInd2">
    <w:name w:val="DBodyInd2"/>
    <w:aliases w:val="di2"/>
    <w:basedOn w:val="BodyInd2"/>
    <w:pPr>
      <w:spacing w:after="0" w:line="480" w:lineRule="auto"/>
    </w:pPr>
  </w:style>
  <w:style w:type="paragraph" w:styleId="Salutation">
    <w:name w:val="Salutation"/>
    <w:aliases w:val="sal"/>
    <w:basedOn w:val="Normal"/>
    <w:next w:val="Normal"/>
  </w:style>
  <w:style w:type="paragraph" w:customStyle="1" w:styleId="Subtitle1">
    <w:name w:val="Subtitle1"/>
    <w:aliases w:val="sub"/>
    <w:basedOn w:val="Normal"/>
    <w:pPr>
      <w:jc w:val="center"/>
    </w:pPr>
  </w:style>
  <w:style w:type="paragraph" w:styleId="Title">
    <w:name w:val="Title"/>
    <w:aliases w:val="t"/>
    <w:basedOn w:val="Normal"/>
    <w:qFormat/>
    <w:pPr>
      <w:keepNext/>
      <w:spacing w:before="240"/>
      <w:jc w:val="center"/>
    </w:pPr>
    <w:rPr>
      <w:b/>
      <w:kern w:val="28"/>
      <w:sz w:val="28"/>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LetterDate">
    <w:name w:val="LetterDate"/>
    <w:basedOn w:val="Normal"/>
    <w:pPr>
      <w:jc w:val="center"/>
    </w:pPr>
  </w:style>
  <w:style w:type="paragraph" w:customStyle="1" w:styleId="Delivery">
    <w:name w:val="Delivery"/>
    <w:basedOn w:val="Normal"/>
    <w:pPr>
      <w:spacing w:after="240"/>
    </w:pPr>
    <w:rPr>
      <w:b/>
      <w:smallCaps/>
      <w:u w:val="single"/>
    </w:rPr>
  </w:style>
  <w:style w:type="paragraph" w:customStyle="1" w:styleId="Address">
    <w:name w:val="Address"/>
    <w:basedOn w:val="Normal"/>
  </w:style>
  <w:style w:type="paragraph" w:customStyle="1" w:styleId="ReLine">
    <w:name w:val="ReLine"/>
    <w:basedOn w:val="Normal"/>
    <w:pPr>
      <w:ind w:left="1440" w:hanging="720"/>
    </w:pPr>
  </w:style>
  <w:style w:type="paragraph" w:customStyle="1" w:styleId="LetterEmail">
    <w:name w:val="LetterEmail"/>
    <w:basedOn w:val="Normal"/>
    <w:rPr>
      <w:rFonts w:ascii="EngraversGothic BT" w:hAnsi="EngraversGothic BT"/>
      <w:sz w:val="18"/>
    </w:rPr>
  </w:style>
  <w:style w:type="paragraph" w:customStyle="1" w:styleId="ccbcc">
    <w:name w:val="ccbcc"/>
    <w:basedOn w:val="Normal"/>
    <w:pPr>
      <w:ind w:left="720" w:hanging="720"/>
    </w:pPr>
  </w:style>
  <w:style w:type="paragraph" w:customStyle="1" w:styleId="LetterPhone">
    <w:name w:val="LetterPhone"/>
    <w:basedOn w:val="LetterEmail"/>
    <w:rPr>
      <w:smallCaps/>
      <w:sz w:val="16"/>
    </w:rPr>
  </w:style>
  <w:style w:type="paragraph" w:customStyle="1" w:styleId="HeaderInfo">
    <w:name w:val="HeaderInfo"/>
    <w:basedOn w:val="Normal"/>
    <w:rPr>
      <w:b/>
      <w:u w:val="single"/>
    </w:rPr>
  </w:style>
  <w:style w:type="paragraph" w:styleId="BodyTextIndent3">
    <w:name w:val="Body Text Indent 3"/>
    <w:basedOn w:val="Normal"/>
    <w:pPr>
      <w:ind w:left="1440"/>
    </w:pPr>
    <w:rPr>
      <w:b/>
    </w:rPr>
  </w:style>
  <w:style w:type="character" w:styleId="Hyperlink">
    <w:name w:val="Hyperlink"/>
    <w:rPr>
      <w:color w:val="0000FF"/>
      <w:u w:val="single"/>
    </w:rPr>
  </w:style>
  <w:style w:type="character" w:styleId="CommentReference">
    <w:name w:val="annotation reference"/>
    <w:semiHidden/>
    <w:rPr>
      <w:sz w:val="16"/>
      <w:szCs w:val="16"/>
    </w:rPr>
  </w:style>
  <w:style w:type="paragraph" w:styleId="CommentText">
    <w:name w:val="annotation text"/>
    <w:basedOn w:val="Normal"/>
    <w:semiHidden/>
    <w:rPr>
      <w:sz w:val="20"/>
    </w:rPr>
  </w:style>
  <w:style w:type="paragraph" w:styleId="CommentSubject">
    <w:name w:val="annotation subject"/>
    <w:basedOn w:val="CommentText"/>
    <w:next w:val="CommentText"/>
    <w:semiHidden/>
    <w:rsid w:val="00714602"/>
    <w:rPr>
      <w:b/>
      <w:bCs/>
    </w:rPr>
  </w:style>
  <w:style w:type="paragraph" w:styleId="BalloonText">
    <w:name w:val="Balloon Text"/>
    <w:basedOn w:val="Normal"/>
    <w:semiHidden/>
    <w:rsid w:val="00714602"/>
    <w:rPr>
      <w:rFonts w:ascii="Tahoma" w:hAnsi="Tahoma" w:cs="Tahoma"/>
      <w:sz w:val="16"/>
      <w:szCs w:val="16"/>
    </w:rPr>
  </w:style>
  <w:style w:type="character" w:styleId="FollowedHyperlink">
    <w:name w:val="FollowedHyperlink"/>
    <w:rsid w:val="00184C7B"/>
    <w:rPr>
      <w:color w:val="800080"/>
      <w:u w:val="single"/>
    </w:rPr>
  </w:style>
  <w:style w:type="table" w:styleId="TableGrid">
    <w:name w:val="Table Grid"/>
    <w:basedOn w:val="TableNormal"/>
    <w:rsid w:val="00FB0F6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UnresolvedMention">
    <w:name w:val="Unresolved Mention"/>
    <w:basedOn w:val="DefaultParagraphFont"/>
    <w:uiPriority w:val="99"/>
    <w:semiHidden/>
    <w:unhideWhenUsed/>
    <w:rsid w:val="00892BF5"/>
    <w:rPr>
      <w:color w:val="605E5C"/>
      <w:shd w:val="clear" w:color="auto" w:fill="E1DFDD"/>
    </w:rPr>
  </w:style>
  <w:style w:type="paragraph" w:styleId="BodyText">
    <w:name w:val="Body Text"/>
    <w:basedOn w:val="Normal"/>
    <w:link w:val="BodyTextChar"/>
    <w:rsid w:val="001718E6"/>
    <w:pPr>
      <w:spacing w:after="120"/>
      <w:jc w:val="both"/>
    </w:pPr>
    <w:rPr>
      <w:szCs w:val="24"/>
    </w:rPr>
  </w:style>
  <w:style w:type="character" w:customStyle="1" w:styleId="BodyTextChar">
    <w:name w:val="Body Text Char"/>
    <w:basedOn w:val="DefaultParagraphFont"/>
    <w:link w:val="BodyText"/>
    <w:rsid w:val="001718E6"/>
    <w:rPr>
      <w:sz w:val="24"/>
      <w:szCs w:val="24"/>
      <w:lang w:eastAsia="en-US"/>
    </w:rPr>
  </w:style>
  <w:style w:type="character" w:customStyle="1" w:styleId="Heading3Char">
    <w:name w:val="Heading 3 Char"/>
    <w:basedOn w:val="DefaultParagraphFont"/>
    <w:link w:val="Heading3"/>
    <w:semiHidden/>
    <w:rsid w:val="00A8271E"/>
    <w:rPr>
      <w:rFonts w:asciiTheme="majorHAnsi" w:eastAsiaTheme="majorEastAsia" w:hAnsiTheme="majorHAnsi" w:cstheme="majorBidi"/>
      <w:color w:val="1F3763" w:themeColor="accent1" w:themeShade="7F"/>
      <w:sz w:val="24"/>
      <w:szCs w:val="24"/>
      <w:lang w:eastAsia="en-US"/>
    </w:rPr>
  </w:style>
  <w:style w:type="paragraph" w:styleId="ListParagraph">
    <w:name w:val="List Paragraph"/>
    <w:basedOn w:val="Normal"/>
    <w:uiPriority w:val="34"/>
    <w:qFormat/>
    <w:rsid w:val="008F02E4"/>
    <w:pPr>
      <w:ind w:left="720"/>
      <w:contextualSpacing/>
    </w:pPr>
    <w:rPr>
      <w:szCs w:val="24"/>
    </w:rPr>
  </w:style>
  <w:style w:type="character" w:customStyle="1" w:styleId="HeaderChar">
    <w:name w:val="Header Char"/>
    <w:basedOn w:val="DefaultParagraphFont"/>
    <w:link w:val="Header"/>
    <w:uiPriority w:val="99"/>
    <w:rsid w:val="00612356"/>
    <w:rPr>
      <w:sz w:val="24"/>
      <w:lang w:eastAsia="en-US"/>
    </w:rPr>
  </w:style>
  <w:style w:type="paragraph" w:styleId="FootnoteText">
    <w:name w:val="footnote text"/>
    <w:basedOn w:val="Normal"/>
    <w:link w:val="FootnoteTextChar"/>
    <w:unhideWhenUsed/>
    <w:rsid w:val="00F82CFB"/>
    <w:rPr>
      <w:sz w:val="20"/>
    </w:rPr>
  </w:style>
  <w:style w:type="character" w:customStyle="1" w:styleId="FootnoteTextChar">
    <w:name w:val="Footnote Text Char"/>
    <w:basedOn w:val="DefaultParagraphFont"/>
    <w:link w:val="FootnoteText"/>
    <w:rsid w:val="00F82CFB"/>
    <w:rPr>
      <w:lang w:eastAsia="en-US"/>
    </w:rPr>
  </w:style>
  <w:style w:type="character" w:styleId="FootnoteReference">
    <w:name w:val="footnote reference"/>
    <w:basedOn w:val="DefaultParagraphFont"/>
    <w:uiPriority w:val="99"/>
    <w:unhideWhenUsed/>
    <w:rsid w:val="00F82CFB"/>
    <w:rPr>
      <w:vertAlign w:val="superscript"/>
    </w:rPr>
  </w:style>
  <w:style w:type="paragraph" w:styleId="Revision">
    <w:name w:val="Revision"/>
    <w:hidden/>
    <w:uiPriority w:val="99"/>
    <w:semiHidden/>
    <w:rsid w:val="00822328"/>
    <w:rPr>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528423">
      <w:bodyDiv w:val="1"/>
      <w:marLeft w:val="0"/>
      <w:marRight w:val="0"/>
      <w:marTop w:val="0"/>
      <w:marBottom w:val="0"/>
      <w:divBdr>
        <w:top w:val="none" w:sz="0" w:space="0" w:color="auto"/>
        <w:left w:val="none" w:sz="0" w:space="0" w:color="auto"/>
        <w:bottom w:val="none" w:sz="0" w:space="0" w:color="auto"/>
        <w:right w:val="none" w:sz="0" w:space="0" w:color="auto"/>
      </w:divBdr>
    </w:div>
    <w:div w:id="221066846">
      <w:bodyDiv w:val="1"/>
      <w:marLeft w:val="0"/>
      <w:marRight w:val="0"/>
      <w:marTop w:val="0"/>
      <w:marBottom w:val="0"/>
      <w:divBdr>
        <w:top w:val="none" w:sz="0" w:space="0" w:color="auto"/>
        <w:left w:val="none" w:sz="0" w:space="0" w:color="auto"/>
        <w:bottom w:val="none" w:sz="0" w:space="0" w:color="auto"/>
        <w:right w:val="none" w:sz="0" w:space="0" w:color="auto"/>
      </w:divBdr>
    </w:div>
    <w:div w:id="250549679">
      <w:bodyDiv w:val="1"/>
      <w:marLeft w:val="0"/>
      <w:marRight w:val="0"/>
      <w:marTop w:val="0"/>
      <w:marBottom w:val="0"/>
      <w:divBdr>
        <w:top w:val="none" w:sz="0" w:space="0" w:color="auto"/>
        <w:left w:val="none" w:sz="0" w:space="0" w:color="auto"/>
        <w:bottom w:val="none" w:sz="0" w:space="0" w:color="auto"/>
        <w:right w:val="none" w:sz="0" w:space="0" w:color="auto"/>
      </w:divBdr>
    </w:div>
    <w:div w:id="254291553">
      <w:bodyDiv w:val="1"/>
      <w:marLeft w:val="0"/>
      <w:marRight w:val="0"/>
      <w:marTop w:val="0"/>
      <w:marBottom w:val="0"/>
      <w:divBdr>
        <w:top w:val="none" w:sz="0" w:space="0" w:color="auto"/>
        <w:left w:val="none" w:sz="0" w:space="0" w:color="auto"/>
        <w:bottom w:val="none" w:sz="0" w:space="0" w:color="auto"/>
        <w:right w:val="none" w:sz="0" w:space="0" w:color="auto"/>
      </w:divBdr>
    </w:div>
    <w:div w:id="276835007">
      <w:bodyDiv w:val="1"/>
      <w:marLeft w:val="0"/>
      <w:marRight w:val="0"/>
      <w:marTop w:val="0"/>
      <w:marBottom w:val="0"/>
      <w:divBdr>
        <w:top w:val="none" w:sz="0" w:space="0" w:color="auto"/>
        <w:left w:val="none" w:sz="0" w:space="0" w:color="auto"/>
        <w:bottom w:val="none" w:sz="0" w:space="0" w:color="auto"/>
        <w:right w:val="none" w:sz="0" w:space="0" w:color="auto"/>
      </w:divBdr>
      <w:divsChild>
        <w:div w:id="2962229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5981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526735">
      <w:bodyDiv w:val="1"/>
      <w:marLeft w:val="0"/>
      <w:marRight w:val="0"/>
      <w:marTop w:val="0"/>
      <w:marBottom w:val="0"/>
      <w:divBdr>
        <w:top w:val="none" w:sz="0" w:space="0" w:color="auto"/>
        <w:left w:val="none" w:sz="0" w:space="0" w:color="auto"/>
        <w:bottom w:val="none" w:sz="0" w:space="0" w:color="auto"/>
        <w:right w:val="none" w:sz="0" w:space="0" w:color="auto"/>
      </w:divBdr>
    </w:div>
    <w:div w:id="423234965">
      <w:bodyDiv w:val="1"/>
      <w:marLeft w:val="0"/>
      <w:marRight w:val="0"/>
      <w:marTop w:val="0"/>
      <w:marBottom w:val="0"/>
      <w:divBdr>
        <w:top w:val="none" w:sz="0" w:space="0" w:color="auto"/>
        <w:left w:val="none" w:sz="0" w:space="0" w:color="auto"/>
        <w:bottom w:val="none" w:sz="0" w:space="0" w:color="auto"/>
        <w:right w:val="none" w:sz="0" w:space="0" w:color="auto"/>
      </w:divBdr>
    </w:div>
    <w:div w:id="439841973">
      <w:bodyDiv w:val="1"/>
      <w:marLeft w:val="0"/>
      <w:marRight w:val="0"/>
      <w:marTop w:val="0"/>
      <w:marBottom w:val="0"/>
      <w:divBdr>
        <w:top w:val="none" w:sz="0" w:space="0" w:color="auto"/>
        <w:left w:val="none" w:sz="0" w:space="0" w:color="auto"/>
        <w:bottom w:val="none" w:sz="0" w:space="0" w:color="auto"/>
        <w:right w:val="none" w:sz="0" w:space="0" w:color="auto"/>
      </w:divBdr>
    </w:div>
    <w:div w:id="468016096">
      <w:bodyDiv w:val="1"/>
      <w:marLeft w:val="0"/>
      <w:marRight w:val="0"/>
      <w:marTop w:val="0"/>
      <w:marBottom w:val="0"/>
      <w:divBdr>
        <w:top w:val="none" w:sz="0" w:space="0" w:color="auto"/>
        <w:left w:val="none" w:sz="0" w:space="0" w:color="auto"/>
        <w:bottom w:val="none" w:sz="0" w:space="0" w:color="auto"/>
        <w:right w:val="none" w:sz="0" w:space="0" w:color="auto"/>
      </w:divBdr>
    </w:div>
    <w:div w:id="469133045">
      <w:bodyDiv w:val="1"/>
      <w:marLeft w:val="0"/>
      <w:marRight w:val="0"/>
      <w:marTop w:val="0"/>
      <w:marBottom w:val="0"/>
      <w:divBdr>
        <w:top w:val="none" w:sz="0" w:space="0" w:color="auto"/>
        <w:left w:val="none" w:sz="0" w:space="0" w:color="auto"/>
        <w:bottom w:val="none" w:sz="0" w:space="0" w:color="auto"/>
        <w:right w:val="none" w:sz="0" w:space="0" w:color="auto"/>
      </w:divBdr>
    </w:div>
    <w:div w:id="487407374">
      <w:bodyDiv w:val="1"/>
      <w:marLeft w:val="0"/>
      <w:marRight w:val="0"/>
      <w:marTop w:val="0"/>
      <w:marBottom w:val="0"/>
      <w:divBdr>
        <w:top w:val="none" w:sz="0" w:space="0" w:color="auto"/>
        <w:left w:val="none" w:sz="0" w:space="0" w:color="auto"/>
        <w:bottom w:val="none" w:sz="0" w:space="0" w:color="auto"/>
        <w:right w:val="none" w:sz="0" w:space="0" w:color="auto"/>
      </w:divBdr>
    </w:div>
    <w:div w:id="491675544">
      <w:bodyDiv w:val="1"/>
      <w:marLeft w:val="0"/>
      <w:marRight w:val="0"/>
      <w:marTop w:val="0"/>
      <w:marBottom w:val="0"/>
      <w:divBdr>
        <w:top w:val="none" w:sz="0" w:space="0" w:color="auto"/>
        <w:left w:val="none" w:sz="0" w:space="0" w:color="auto"/>
        <w:bottom w:val="none" w:sz="0" w:space="0" w:color="auto"/>
        <w:right w:val="none" w:sz="0" w:space="0" w:color="auto"/>
      </w:divBdr>
    </w:div>
    <w:div w:id="492336193">
      <w:bodyDiv w:val="1"/>
      <w:marLeft w:val="0"/>
      <w:marRight w:val="0"/>
      <w:marTop w:val="0"/>
      <w:marBottom w:val="0"/>
      <w:divBdr>
        <w:top w:val="none" w:sz="0" w:space="0" w:color="auto"/>
        <w:left w:val="none" w:sz="0" w:space="0" w:color="auto"/>
        <w:bottom w:val="none" w:sz="0" w:space="0" w:color="auto"/>
        <w:right w:val="none" w:sz="0" w:space="0" w:color="auto"/>
      </w:divBdr>
    </w:div>
    <w:div w:id="571164610">
      <w:bodyDiv w:val="1"/>
      <w:marLeft w:val="0"/>
      <w:marRight w:val="0"/>
      <w:marTop w:val="0"/>
      <w:marBottom w:val="0"/>
      <w:divBdr>
        <w:top w:val="none" w:sz="0" w:space="0" w:color="auto"/>
        <w:left w:val="none" w:sz="0" w:space="0" w:color="auto"/>
        <w:bottom w:val="none" w:sz="0" w:space="0" w:color="auto"/>
        <w:right w:val="none" w:sz="0" w:space="0" w:color="auto"/>
      </w:divBdr>
    </w:div>
    <w:div w:id="799112481">
      <w:bodyDiv w:val="1"/>
      <w:marLeft w:val="0"/>
      <w:marRight w:val="0"/>
      <w:marTop w:val="0"/>
      <w:marBottom w:val="0"/>
      <w:divBdr>
        <w:top w:val="none" w:sz="0" w:space="0" w:color="auto"/>
        <w:left w:val="none" w:sz="0" w:space="0" w:color="auto"/>
        <w:bottom w:val="none" w:sz="0" w:space="0" w:color="auto"/>
        <w:right w:val="none" w:sz="0" w:space="0" w:color="auto"/>
      </w:divBdr>
    </w:div>
    <w:div w:id="843591263">
      <w:bodyDiv w:val="1"/>
      <w:marLeft w:val="0"/>
      <w:marRight w:val="0"/>
      <w:marTop w:val="0"/>
      <w:marBottom w:val="0"/>
      <w:divBdr>
        <w:top w:val="none" w:sz="0" w:space="0" w:color="auto"/>
        <w:left w:val="none" w:sz="0" w:space="0" w:color="auto"/>
        <w:bottom w:val="none" w:sz="0" w:space="0" w:color="auto"/>
        <w:right w:val="none" w:sz="0" w:space="0" w:color="auto"/>
      </w:divBdr>
    </w:div>
    <w:div w:id="901134683">
      <w:bodyDiv w:val="1"/>
      <w:marLeft w:val="0"/>
      <w:marRight w:val="0"/>
      <w:marTop w:val="0"/>
      <w:marBottom w:val="0"/>
      <w:divBdr>
        <w:top w:val="none" w:sz="0" w:space="0" w:color="auto"/>
        <w:left w:val="none" w:sz="0" w:space="0" w:color="auto"/>
        <w:bottom w:val="none" w:sz="0" w:space="0" w:color="auto"/>
        <w:right w:val="none" w:sz="0" w:space="0" w:color="auto"/>
      </w:divBdr>
    </w:div>
    <w:div w:id="907570488">
      <w:bodyDiv w:val="1"/>
      <w:marLeft w:val="0"/>
      <w:marRight w:val="0"/>
      <w:marTop w:val="0"/>
      <w:marBottom w:val="0"/>
      <w:divBdr>
        <w:top w:val="none" w:sz="0" w:space="0" w:color="auto"/>
        <w:left w:val="none" w:sz="0" w:space="0" w:color="auto"/>
        <w:bottom w:val="none" w:sz="0" w:space="0" w:color="auto"/>
        <w:right w:val="none" w:sz="0" w:space="0" w:color="auto"/>
      </w:divBdr>
    </w:div>
    <w:div w:id="967662979">
      <w:bodyDiv w:val="1"/>
      <w:marLeft w:val="0"/>
      <w:marRight w:val="0"/>
      <w:marTop w:val="0"/>
      <w:marBottom w:val="0"/>
      <w:divBdr>
        <w:top w:val="none" w:sz="0" w:space="0" w:color="auto"/>
        <w:left w:val="none" w:sz="0" w:space="0" w:color="auto"/>
        <w:bottom w:val="none" w:sz="0" w:space="0" w:color="auto"/>
        <w:right w:val="none" w:sz="0" w:space="0" w:color="auto"/>
      </w:divBdr>
    </w:div>
    <w:div w:id="991057587">
      <w:bodyDiv w:val="1"/>
      <w:marLeft w:val="0"/>
      <w:marRight w:val="0"/>
      <w:marTop w:val="0"/>
      <w:marBottom w:val="0"/>
      <w:divBdr>
        <w:top w:val="none" w:sz="0" w:space="0" w:color="auto"/>
        <w:left w:val="none" w:sz="0" w:space="0" w:color="auto"/>
        <w:bottom w:val="none" w:sz="0" w:space="0" w:color="auto"/>
        <w:right w:val="none" w:sz="0" w:space="0" w:color="auto"/>
      </w:divBdr>
    </w:div>
    <w:div w:id="1047795307">
      <w:bodyDiv w:val="1"/>
      <w:marLeft w:val="0"/>
      <w:marRight w:val="0"/>
      <w:marTop w:val="0"/>
      <w:marBottom w:val="0"/>
      <w:divBdr>
        <w:top w:val="none" w:sz="0" w:space="0" w:color="auto"/>
        <w:left w:val="none" w:sz="0" w:space="0" w:color="auto"/>
        <w:bottom w:val="none" w:sz="0" w:space="0" w:color="auto"/>
        <w:right w:val="none" w:sz="0" w:space="0" w:color="auto"/>
      </w:divBdr>
    </w:div>
    <w:div w:id="1077749933">
      <w:bodyDiv w:val="1"/>
      <w:marLeft w:val="0"/>
      <w:marRight w:val="0"/>
      <w:marTop w:val="0"/>
      <w:marBottom w:val="0"/>
      <w:divBdr>
        <w:top w:val="none" w:sz="0" w:space="0" w:color="auto"/>
        <w:left w:val="none" w:sz="0" w:space="0" w:color="auto"/>
        <w:bottom w:val="none" w:sz="0" w:space="0" w:color="auto"/>
        <w:right w:val="none" w:sz="0" w:space="0" w:color="auto"/>
      </w:divBdr>
    </w:div>
    <w:div w:id="1098600877">
      <w:bodyDiv w:val="1"/>
      <w:marLeft w:val="0"/>
      <w:marRight w:val="0"/>
      <w:marTop w:val="0"/>
      <w:marBottom w:val="0"/>
      <w:divBdr>
        <w:top w:val="none" w:sz="0" w:space="0" w:color="auto"/>
        <w:left w:val="none" w:sz="0" w:space="0" w:color="auto"/>
        <w:bottom w:val="none" w:sz="0" w:space="0" w:color="auto"/>
        <w:right w:val="none" w:sz="0" w:space="0" w:color="auto"/>
      </w:divBdr>
    </w:div>
    <w:div w:id="1117602384">
      <w:bodyDiv w:val="1"/>
      <w:marLeft w:val="0"/>
      <w:marRight w:val="0"/>
      <w:marTop w:val="0"/>
      <w:marBottom w:val="0"/>
      <w:divBdr>
        <w:top w:val="none" w:sz="0" w:space="0" w:color="auto"/>
        <w:left w:val="none" w:sz="0" w:space="0" w:color="auto"/>
        <w:bottom w:val="none" w:sz="0" w:space="0" w:color="auto"/>
        <w:right w:val="none" w:sz="0" w:space="0" w:color="auto"/>
      </w:divBdr>
    </w:div>
    <w:div w:id="1141381867">
      <w:bodyDiv w:val="1"/>
      <w:marLeft w:val="0"/>
      <w:marRight w:val="0"/>
      <w:marTop w:val="0"/>
      <w:marBottom w:val="0"/>
      <w:divBdr>
        <w:top w:val="none" w:sz="0" w:space="0" w:color="auto"/>
        <w:left w:val="none" w:sz="0" w:space="0" w:color="auto"/>
        <w:bottom w:val="none" w:sz="0" w:space="0" w:color="auto"/>
        <w:right w:val="none" w:sz="0" w:space="0" w:color="auto"/>
      </w:divBdr>
    </w:div>
    <w:div w:id="1167332404">
      <w:bodyDiv w:val="1"/>
      <w:marLeft w:val="0"/>
      <w:marRight w:val="0"/>
      <w:marTop w:val="0"/>
      <w:marBottom w:val="0"/>
      <w:divBdr>
        <w:top w:val="none" w:sz="0" w:space="0" w:color="auto"/>
        <w:left w:val="none" w:sz="0" w:space="0" w:color="auto"/>
        <w:bottom w:val="none" w:sz="0" w:space="0" w:color="auto"/>
        <w:right w:val="none" w:sz="0" w:space="0" w:color="auto"/>
      </w:divBdr>
    </w:div>
    <w:div w:id="1250308902">
      <w:bodyDiv w:val="1"/>
      <w:marLeft w:val="0"/>
      <w:marRight w:val="0"/>
      <w:marTop w:val="0"/>
      <w:marBottom w:val="0"/>
      <w:divBdr>
        <w:top w:val="none" w:sz="0" w:space="0" w:color="auto"/>
        <w:left w:val="none" w:sz="0" w:space="0" w:color="auto"/>
        <w:bottom w:val="none" w:sz="0" w:space="0" w:color="auto"/>
        <w:right w:val="none" w:sz="0" w:space="0" w:color="auto"/>
      </w:divBdr>
    </w:div>
    <w:div w:id="1304239926">
      <w:bodyDiv w:val="1"/>
      <w:marLeft w:val="0"/>
      <w:marRight w:val="0"/>
      <w:marTop w:val="0"/>
      <w:marBottom w:val="0"/>
      <w:divBdr>
        <w:top w:val="none" w:sz="0" w:space="0" w:color="auto"/>
        <w:left w:val="none" w:sz="0" w:space="0" w:color="auto"/>
        <w:bottom w:val="none" w:sz="0" w:space="0" w:color="auto"/>
        <w:right w:val="none" w:sz="0" w:space="0" w:color="auto"/>
      </w:divBdr>
    </w:div>
    <w:div w:id="1407072997">
      <w:bodyDiv w:val="1"/>
      <w:marLeft w:val="0"/>
      <w:marRight w:val="0"/>
      <w:marTop w:val="0"/>
      <w:marBottom w:val="0"/>
      <w:divBdr>
        <w:top w:val="none" w:sz="0" w:space="0" w:color="auto"/>
        <w:left w:val="none" w:sz="0" w:space="0" w:color="auto"/>
        <w:bottom w:val="none" w:sz="0" w:space="0" w:color="auto"/>
        <w:right w:val="none" w:sz="0" w:space="0" w:color="auto"/>
      </w:divBdr>
    </w:div>
    <w:div w:id="1441342086">
      <w:bodyDiv w:val="1"/>
      <w:marLeft w:val="0"/>
      <w:marRight w:val="0"/>
      <w:marTop w:val="0"/>
      <w:marBottom w:val="0"/>
      <w:divBdr>
        <w:top w:val="none" w:sz="0" w:space="0" w:color="auto"/>
        <w:left w:val="none" w:sz="0" w:space="0" w:color="auto"/>
        <w:bottom w:val="none" w:sz="0" w:space="0" w:color="auto"/>
        <w:right w:val="none" w:sz="0" w:space="0" w:color="auto"/>
      </w:divBdr>
    </w:div>
    <w:div w:id="1442798970">
      <w:bodyDiv w:val="1"/>
      <w:marLeft w:val="0"/>
      <w:marRight w:val="0"/>
      <w:marTop w:val="0"/>
      <w:marBottom w:val="0"/>
      <w:divBdr>
        <w:top w:val="none" w:sz="0" w:space="0" w:color="auto"/>
        <w:left w:val="none" w:sz="0" w:space="0" w:color="auto"/>
        <w:bottom w:val="none" w:sz="0" w:space="0" w:color="auto"/>
        <w:right w:val="none" w:sz="0" w:space="0" w:color="auto"/>
      </w:divBdr>
    </w:div>
    <w:div w:id="1461800092">
      <w:bodyDiv w:val="1"/>
      <w:marLeft w:val="0"/>
      <w:marRight w:val="0"/>
      <w:marTop w:val="0"/>
      <w:marBottom w:val="0"/>
      <w:divBdr>
        <w:top w:val="none" w:sz="0" w:space="0" w:color="auto"/>
        <w:left w:val="none" w:sz="0" w:space="0" w:color="auto"/>
        <w:bottom w:val="none" w:sz="0" w:space="0" w:color="auto"/>
        <w:right w:val="none" w:sz="0" w:space="0" w:color="auto"/>
      </w:divBdr>
    </w:div>
    <w:div w:id="1504853555">
      <w:bodyDiv w:val="1"/>
      <w:marLeft w:val="0"/>
      <w:marRight w:val="0"/>
      <w:marTop w:val="0"/>
      <w:marBottom w:val="0"/>
      <w:divBdr>
        <w:top w:val="none" w:sz="0" w:space="0" w:color="auto"/>
        <w:left w:val="none" w:sz="0" w:space="0" w:color="auto"/>
        <w:bottom w:val="none" w:sz="0" w:space="0" w:color="auto"/>
        <w:right w:val="none" w:sz="0" w:space="0" w:color="auto"/>
      </w:divBdr>
    </w:div>
    <w:div w:id="1532378366">
      <w:bodyDiv w:val="1"/>
      <w:marLeft w:val="0"/>
      <w:marRight w:val="0"/>
      <w:marTop w:val="0"/>
      <w:marBottom w:val="0"/>
      <w:divBdr>
        <w:top w:val="none" w:sz="0" w:space="0" w:color="auto"/>
        <w:left w:val="none" w:sz="0" w:space="0" w:color="auto"/>
        <w:bottom w:val="none" w:sz="0" w:space="0" w:color="auto"/>
        <w:right w:val="none" w:sz="0" w:space="0" w:color="auto"/>
      </w:divBdr>
    </w:div>
    <w:div w:id="1534033476">
      <w:bodyDiv w:val="1"/>
      <w:marLeft w:val="0"/>
      <w:marRight w:val="0"/>
      <w:marTop w:val="0"/>
      <w:marBottom w:val="0"/>
      <w:divBdr>
        <w:top w:val="none" w:sz="0" w:space="0" w:color="auto"/>
        <w:left w:val="none" w:sz="0" w:space="0" w:color="auto"/>
        <w:bottom w:val="none" w:sz="0" w:space="0" w:color="auto"/>
        <w:right w:val="none" w:sz="0" w:space="0" w:color="auto"/>
      </w:divBdr>
      <w:divsChild>
        <w:div w:id="6360289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971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742151">
      <w:bodyDiv w:val="1"/>
      <w:marLeft w:val="0"/>
      <w:marRight w:val="0"/>
      <w:marTop w:val="0"/>
      <w:marBottom w:val="0"/>
      <w:divBdr>
        <w:top w:val="none" w:sz="0" w:space="0" w:color="auto"/>
        <w:left w:val="none" w:sz="0" w:space="0" w:color="auto"/>
        <w:bottom w:val="none" w:sz="0" w:space="0" w:color="auto"/>
        <w:right w:val="none" w:sz="0" w:space="0" w:color="auto"/>
      </w:divBdr>
    </w:div>
    <w:div w:id="1588952738">
      <w:bodyDiv w:val="1"/>
      <w:marLeft w:val="0"/>
      <w:marRight w:val="0"/>
      <w:marTop w:val="0"/>
      <w:marBottom w:val="0"/>
      <w:divBdr>
        <w:top w:val="none" w:sz="0" w:space="0" w:color="auto"/>
        <w:left w:val="none" w:sz="0" w:space="0" w:color="auto"/>
        <w:bottom w:val="none" w:sz="0" w:space="0" w:color="auto"/>
        <w:right w:val="none" w:sz="0" w:space="0" w:color="auto"/>
      </w:divBdr>
    </w:div>
    <w:div w:id="1631470775">
      <w:bodyDiv w:val="1"/>
      <w:marLeft w:val="0"/>
      <w:marRight w:val="0"/>
      <w:marTop w:val="0"/>
      <w:marBottom w:val="0"/>
      <w:divBdr>
        <w:top w:val="none" w:sz="0" w:space="0" w:color="auto"/>
        <w:left w:val="none" w:sz="0" w:space="0" w:color="auto"/>
        <w:bottom w:val="none" w:sz="0" w:space="0" w:color="auto"/>
        <w:right w:val="none" w:sz="0" w:space="0" w:color="auto"/>
      </w:divBdr>
    </w:div>
    <w:div w:id="1878927747">
      <w:bodyDiv w:val="1"/>
      <w:marLeft w:val="0"/>
      <w:marRight w:val="0"/>
      <w:marTop w:val="0"/>
      <w:marBottom w:val="0"/>
      <w:divBdr>
        <w:top w:val="none" w:sz="0" w:space="0" w:color="auto"/>
        <w:left w:val="none" w:sz="0" w:space="0" w:color="auto"/>
        <w:bottom w:val="none" w:sz="0" w:space="0" w:color="auto"/>
        <w:right w:val="none" w:sz="0" w:space="0" w:color="auto"/>
      </w:divBdr>
    </w:div>
    <w:div w:id="1889300349">
      <w:bodyDiv w:val="1"/>
      <w:marLeft w:val="0"/>
      <w:marRight w:val="0"/>
      <w:marTop w:val="0"/>
      <w:marBottom w:val="0"/>
      <w:divBdr>
        <w:top w:val="none" w:sz="0" w:space="0" w:color="auto"/>
        <w:left w:val="none" w:sz="0" w:space="0" w:color="auto"/>
        <w:bottom w:val="none" w:sz="0" w:space="0" w:color="auto"/>
        <w:right w:val="none" w:sz="0" w:space="0" w:color="auto"/>
      </w:divBdr>
    </w:div>
    <w:div w:id="1891988835">
      <w:bodyDiv w:val="1"/>
      <w:marLeft w:val="0"/>
      <w:marRight w:val="0"/>
      <w:marTop w:val="0"/>
      <w:marBottom w:val="0"/>
      <w:divBdr>
        <w:top w:val="none" w:sz="0" w:space="0" w:color="auto"/>
        <w:left w:val="none" w:sz="0" w:space="0" w:color="auto"/>
        <w:bottom w:val="none" w:sz="0" w:space="0" w:color="auto"/>
        <w:right w:val="none" w:sz="0" w:space="0" w:color="auto"/>
      </w:divBdr>
    </w:div>
    <w:div w:id="1906258703">
      <w:bodyDiv w:val="1"/>
      <w:marLeft w:val="0"/>
      <w:marRight w:val="0"/>
      <w:marTop w:val="0"/>
      <w:marBottom w:val="0"/>
      <w:divBdr>
        <w:top w:val="none" w:sz="0" w:space="0" w:color="auto"/>
        <w:left w:val="none" w:sz="0" w:space="0" w:color="auto"/>
        <w:bottom w:val="none" w:sz="0" w:space="0" w:color="auto"/>
        <w:right w:val="none" w:sz="0" w:space="0" w:color="auto"/>
      </w:divBdr>
    </w:div>
    <w:div w:id="1915579702">
      <w:bodyDiv w:val="1"/>
      <w:marLeft w:val="0"/>
      <w:marRight w:val="0"/>
      <w:marTop w:val="0"/>
      <w:marBottom w:val="0"/>
      <w:divBdr>
        <w:top w:val="none" w:sz="0" w:space="0" w:color="auto"/>
        <w:left w:val="none" w:sz="0" w:space="0" w:color="auto"/>
        <w:bottom w:val="none" w:sz="0" w:space="0" w:color="auto"/>
        <w:right w:val="none" w:sz="0" w:space="0" w:color="auto"/>
      </w:divBdr>
    </w:div>
    <w:div w:id="2013022998">
      <w:bodyDiv w:val="1"/>
      <w:marLeft w:val="0"/>
      <w:marRight w:val="0"/>
      <w:marTop w:val="0"/>
      <w:marBottom w:val="0"/>
      <w:divBdr>
        <w:top w:val="none" w:sz="0" w:space="0" w:color="auto"/>
        <w:left w:val="none" w:sz="0" w:space="0" w:color="auto"/>
        <w:bottom w:val="none" w:sz="0" w:space="0" w:color="auto"/>
        <w:right w:val="none" w:sz="0" w:space="0" w:color="auto"/>
      </w:divBdr>
    </w:div>
    <w:div w:id="2032609661">
      <w:bodyDiv w:val="1"/>
      <w:marLeft w:val="0"/>
      <w:marRight w:val="0"/>
      <w:marTop w:val="0"/>
      <w:marBottom w:val="0"/>
      <w:divBdr>
        <w:top w:val="none" w:sz="0" w:space="0" w:color="auto"/>
        <w:left w:val="none" w:sz="0" w:space="0" w:color="auto"/>
        <w:bottom w:val="none" w:sz="0" w:space="0" w:color="auto"/>
        <w:right w:val="none" w:sz="0" w:space="0" w:color="auto"/>
      </w:divBdr>
    </w:div>
    <w:div w:id="2055502871">
      <w:bodyDiv w:val="1"/>
      <w:marLeft w:val="0"/>
      <w:marRight w:val="0"/>
      <w:marTop w:val="0"/>
      <w:marBottom w:val="0"/>
      <w:divBdr>
        <w:top w:val="none" w:sz="0" w:space="0" w:color="auto"/>
        <w:left w:val="none" w:sz="0" w:space="0" w:color="auto"/>
        <w:bottom w:val="none" w:sz="0" w:space="0" w:color="auto"/>
        <w:right w:val="none" w:sz="0" w:space="0" w:color="auto"/>
      </w:divBdr>
      <w:divsChild>
        <w:div w:id="12820335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671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7D0753-C3D3-3646-ACE6-01E5B1F332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4</Pages>
  <Words>1623</Words>
  <Characters>9277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MARC E</vt:lpstr>
    </vt:vector>
  </TitlesOfParts>
  <Company>Gordon &amp; Rees LLP</Company>
  <LinksUpToDate>false</LinksUpToDate>
  <CharactersWithSpaces>10879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Quill</dc:title>
  <dc:subject/>
  <cp:keywords/>
  <cp:lastModifiedBy>Cody Spencer</cp:lastModifiedBy>
  <cp:revision>14</cp:revision>
  <cp:lastPrinted>2019-11-25T22:49:00Z</cp:lastPrinted>
  <dcterms:created xsi:type="dcterms:W3CDTF">2022-12-14T21:22:00Z</dcterms:created>
  <dcterms:modified xsi:type="dcterms:W3CDTF">2024-02-26T18:48:00Z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WDocID">
    <vt:lpwstr/>
  </property>
  <property fmtid="{D5CDD505-2E9C-101B-9397-08002B2CF9AE}" pid="3" name="_NewReviewCycle">
    <vt:lpwstr/>
  </property>
  <property fmtid="{D5CDD505-2E9C-101B-9397-08002B2CF9AE}" pid="4" name="GrammarlyDocumentId">
    <vt:lpwstr>de0a411ad3b03c938230e1091356ecbfab2e1c665a7d5c2c7bc2b9f146da7390</vt:lpwstr>
  </property>
</Properties>
</file>