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DF21F" w14:textId="57C3F96B" w:rsidR="00822E17" w:rsidRPr="00822E17" w:rsidRDefault="00050A24" w:rsidP="00822E17">
      <w:pPr>
        <w:spacing w:after="0" w:line="240" w:lineRule="auto"/>
        <w:rPr>
          <w:rFonts w:ascii="Times" w:hAnsi="Times"/>
          <w:sz w:val="24"/>
          <w:szCs w:val="24"/>
        </w:rPr>
      </w:pPr>
      <w:r w:rsidRPr="00D67761">
        <w:rPr>
          <w:rFonts w:ascii="Times" w:hAnsi="Times"/>
          <w:noProof/>
          <w:sz w:val="24"/>
          <w:szCs w:val="24"/>
        </w:rPr>
        <w:drawing>
          <wp:anchor distT="0" distB="0" distL="114300" distR="114300" simplePos="0" relativeHeight="251659264" behindDoc="1" locked="0" layoutInCell="1" allowOverlap="1" wp14:anchorId="2E6E3804" wp14:editId="77E563BB">
            <wp:simplePos x="0" y="0"/>
            <wp:positionH relativeFrom="margin">
              <wp:align>center</wp:align>
            </wp:positionH>
            <wp:positionV relativeFrom="margin">
              <wp:posOffset>-328007</wp:posOffset>
            </wp:positionV>
            <wp:extent cx="4537075" cy="16459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537075" cy="1645920"/>
                    </a:xfrm>
                    <a:prstGeom prst="rect">
                      <a:avLst/>
                    </a:prstGeom>
                  </pic:spPr>
                </pic:pic>
              </a:graphicData>
            </a:graphic>
            <wp14:sizeRelH relativeFrom="margin">
              <wp14:pctWidth>0</wp14:pctWidth>
            </wp14:sizeRelH>
          </wp:anchor>
        </w:drawing>
      </w:r>
    </w:p>
    <w:p w14:paraId="28F1DB10" w14:textId="77777777" w:rsidR="00050A24" w:rsidRDefault="00050A24" w:rsidP="00D67761">
      <w:pPr>
        <w:spacing w:after="0" w:line="240" w:lineRule="auto"/>
        <w:rPr>
          <w:rFonts w:ascii="Times" w:hAnsi="Times"/>
          <w:sz w:val="24"/>
          <w:szCs w:val="24"/>
        </w:rPr>
      </w:pPr>
    </w:p>
    <w:p w14:paraId="4BC8F7E9" w14:textId="77777777" w:rsidR="00050A24" w:rsidRDefault="00050A24" w:rsidP="00D67761">
      <w:pPr>
        <w:spacing w:after="0" w:line="240" w:lineRule="auto"/>
        <w:rPr>
          <w:rFonts w:ascii="Times" w:hAnsi="Times"/>
          <w:sz w:val="24"/>
          <w:szCs w:val="24"/>
        </w:rPr>
      </w:pPr>
    </w:p>
    <w:p w14:paraId="3A5A8DDC" w14:textId="77777777" w:rsidR="00050A24" w:rsidRDefault="00050A24" w:rsidP="00D67761">
      <w:pPr>
        <w:spacing w:after="0" w:line="240" w:lineRule="auto"/>
        <w:rPr>
          <w:rFonts w:ascii="Times" w:hAnsi="Times"/>
          <w:sz w:val="24"/>
          <w:szCs w:val="24"/>
        </w:rPr>
      </w:pPr>
    </w:p>
    <w:p w14:paraId="22BF5247" w14:textId="77777777" w:rsidR="00050A24" w:rsidRDefault="00050A24" w:rsidP="00D67761">
      <w:pPr>
        <w:spacing w:after="0" w:line="240" w:lineRule="auto"/>
        <w:rPr>
          <w:rFonts w:ascii="Times" w:hAnsi="Times"/>
          <w:sz w:val="24"/>
          <w:szCs w:val="24"/>
        </w:rPr>
      </w:pPr>
    </w:p>
    <w:p w14:paraId="21484E34" w14:textId="77777777" w:rsidR="00050A24" w:rsidRDefault="00050A24" w:rsidP="00D67761">
      <w:pPr>
        <w:spacing w:after="0" w:line="240" w:lineRule="auto"/>
        <w:rPr>
          <w:rFonts w:ascii="Times" w:hAnsi="Times"/>
          <w:sz w:val="24"/>
          <w:szCs w:val="24"/>
        </w:rPr>
      </w:pPr>
    </w:p>
    <w:p w14:paraId="341FCEDA" w14:textId="77777777" w:rsidR="00050A24" w:rsidRDefault="00050A24" w:rsidP="00D67761">
      <w:pPr>
        <w:spacing w:after="0" w:line="240" w:lineRule="auto"/>
        <w:rPr>
          <w:rFonts w:ascii="Times" w:hAnsi="Times"/>
          <w:sz w:val="24"/>
          <w:szCs w:val="24"/>
        </w:rPr>
      </w:pPr>
    </w:p>
    <w:p w14:paraId="55FCBE99" w14:textId="77777777" w:rsidR="00050A24" w:rsidRDefault="00050A24" w:rsidP="00D67761">
      <w:pPr>
        <w:spacing w:after="0" w:line="240" w:lineRule="auto"/>
        <w:rPr>
          <w:rFonts w:ascii="Times" w:hAnsi="Times"/>
          <w:sz w:val="24"/>
          <w:szCs w:val="24"/>
        </w:rPr>
      </w:pPr>
    </w:p>
    <w:p w14:paraId="51B46C1F" w14:textId="434F5856" w:rsidR="00D67761" w:rsidRPr="00D67761" w:rsidRDefault="00D67761" w:rsidP="00D67761">
      <w:pPr>
        <w:spacing w:after="0" w:line="240" w:lineRule="auto"/>
        <w:rPr>
          <w:rFonts w:ascii="Times" w:hAnsi="Times"/>
          <w:sz w:val="24"/>
          <w:szCs w:val="24"/>
        </w:rPr>
      </w:pPr>
      <w:r w:rsidRPr="00D67761">
        <w:rPr>
          <w:rFonts w:ascii="Times" w:hAnsi="Times"/>
          <w:sz w:val="24"/>
          <w:szCs w:val="24"/>
        </w:rPr>
        <w:t>December 3, 2021</w:t>
      </w:r>
    </w:p>
    <w:p w14:paraId="66BFD6F1" w14:textId="11A4D4F4" w:rsidR="00822E17" w:rsidRPr="000C59A6" w:rsidRDefault="00D67761" w:rsidP="00D67761">
      <w:pPr>
        <w:spacing w:after="0" w:line="240" w:lineRule="auto"/>
        <w:rPr>
          <w:rFonts w:ascii="Times" w:hAnsi="Times"/>
          <w:b/>
          <w:bCs/>
          <w:i/>
          <w:iCs/>
          <w:sz w:val="24"/>
          <w:szCs w:val="24"/>
        </w:rPr>
      </w:pPr>
      <w:r w:rsidRPr="00D67761">
        <w:rPr>
          <w:rFonts w:ascii="Times" w:hAnsi="Times"/>
          <w:b/>
          <w:bCs/>
          <w:i/>
          <w:iCs/>
          <w:sz w:val="24"/>
          <w:szCs w:val="24"/>
        </w:rPr>
        <w:t>VIA EMAIL ONLY</w:t>
      </w:r>
    </w:p>
    <w:p w14:paraId="1DA7E1E4" w14:textId="6159C5FA" w:rsidR="00D67761" w:rsidRDefault="00D67761" w:rsidP="00822E17">
      <w:pPr>
        <w:spacing w:after="0" w:line="240" w:lineRule="auto"/>
        <w:rPr>
          <w:rFonts w:ascii="Times" w:hAnsi="Times"/>
          <w:i/>
          <w:iCs/>
          <w:sz w:val="24"/>
          <w:szCs w:val="24"/>
          <w:u w:val="single"/>
        </w:rPr>
      </w:pPr>
    </w:p>
    <w:p w14:paraId="4BB734AC" w14:textId="77777777" w:rsidR="00D67761" w:rsidRPr="00050A24" w:rsidRDefault="00D67761" w:rsidP="00D67761">
      <w:pPr>
        <w:spacing w:after="0" w:line="240" w:lineRule="auto"/>
        <w:rPr>
          <w:rFonts w:ascii="Times New Roman" w:eastAsia="Times New Roman" w:hAnsi="Times New Roman" w:cs="Times New Roman"/>
          <w:sz w:val="24"/>
          <w:szCs w:val="20"/>
        </w:rPr>
      </w:pPr>
      <w:r w:rsidRPr="00050A24">
        <w:rPr>
          <w:rFonts w:ascii="Times New Roman" w:eastAsia="Times New Roman" w:hAnsi="Times New Roman" w:cs="Times New Roman"/>
          <w:sz w:val="24"/>
          <w:szCs w:val="20"/>
        </w:rPr>
        <w:t xml:space="preserve">&lt;&lt; </w:t>
      </w:r>
      <w:proofErr w:type="gramStart"/>
      <w:r w:rsidRPr="00050A24">
        <w:rPr>
          <w:rFonts w:ascii="Times New Roman" w:eastAsia="Times New Roman" w:hAnsi="Times New Roman" w:cs="Times New Roman"/>
          <w:sz w:val="24"/>
          <w:szCs w:val="20"/>
        </w:rPr>
        <w:t>Matter.CustomField.OcName</w:t>
      </w:r>
      <w:proofErr w:type="gramEnd"/>
      <w:r w:rsidRPr="00050A24">
        <w:rPr>
          <w:rFonts w:ascii="Times New Roman" w:eastAsia="Times New Roman" w:hAnsi="Times New Roman" w:cs="Times New Roman"/>
          <w:sz w:val="24"/>
          <w:szCs w:val="20"/>
        </w:rPr>
        <w:t>1 &gt;&gt;</w:t>
      </w:r>
    </w:p>
    <w:p w14:paraId="4E6C93E8" w14:textId="77777777" w:rsidR="00D67761" w:rsidRPr="00050A24" w:rsidRDefault="00D67761" w:rsidP="00D67761">
      <w:pPr>
        <w:spacing w:after="0" w:line="240" w:lineRule="auto"/>
        <w:rPr>
          <w:rFonts w:ascii="Times New Roman" w:eastAsia="Times New Roman" w:hAnsi="Times New Roman" w:cs="Times New Roman"/>
          <w:sz w:val="24"/>
          <w:szCs w:val="20"/>
        </w:rPr>
      </w:pPr>
      <w:r w:rsidRPr="00050A24">
        <w:rPr>
          <w:rFonts w:ascii="Times New Roman" w:eastAsia="Times New Roman" w:hAnsi="Times New Roman" w:cs="Times New Roman"/>
          <w:sz w:val="24"/>
          <w:szCs w:val="20"/>
        </w:rPr>
        <w:t xml:space="preserve">&lt;&lt; </w:t>
      </w:r>
      <w:proofErr w:type="gramStart"/>
      <w:r w:rsidRPr="00050A24">
        <w:rPr>
          <w:rFonts w:ascii="Times New Roman" w:eastAsia="Times New Roman" w:hAnsi="Times New Roman" w:cs="Times New Roman"/>
          <w:sz w:val="24"/>
          <w:szCs w:val="20"/>
        </w:rPr>
        <w:t>Matter.CustomField.OcName</w:t>
      </w:r>
      <w:proofErr w:type="gramEnd"/>
      <w:r w:rsidRPr="00050A24">
        <w:rPr>
          <w:rFonts w:ascii="Times New Roman" w:eastAsia="Times New Roman" w:hAnsi="Times New Roman" w:cs="Times New Roman"/>
          <w:sz w:val="24"/>
          <w:szCs w:val="20"/>
        </w:rPr>
        <w:t>2 &gt;&gt;</w:t>
      </w:r>
    </w:p>
    <w:p w14:paraId="36731AED" w14:textId="77777777" w:rsidR="00D67761" w:rsidRPr="00050A24" w:rsidRDefault="00D67761" w:rsidP="00D67761">
      <w:pPr>
        <w:spacing w:after="0" w:line="240" w:lineRule="auto"/>
        <w:rPr>
          <w:rFonts w:ascii="Times New Roman" w:eastAsia="Times New Roman" w:hAnsi="Times New Roman" w:cs="Times New Roman"/>
          <w:sz w:val="24"/>
          <w:szCs w:val="20"/>
        </w:rPr>
      </w:pPr>
      <w:r w:rsidRPr="00050A24">
        <w:rPr>
          <w:rFonts w:ascii="Times New Roman" w:eastAsia="Times New Roman" w:hAnsi="Times New Roman" w:cs="Times New Roman"/>
          <w:sz w:val="24"/>
          <w:szCs w:val="20"/>
        </w:rPr>
        <w:t xml:space="preserve">&lt;&lt; </w:t>
      </w:r>
      <w:proofErr w:type="gramStart"/>
      <w:r w:rsidRPr="00050A24">
        <w:rPr>
          <w:rFonts w:ascii="Times New Roman" w:eastAsia="Times New Roman" w:hAnsi="Times New Roman" w:cs="Times New Roman"/>
          <w:sz w:val="24"/>
          <w:szCs w:val="20"/>
        </w:rPr>
        <w:t>Matter.CustomField.OcName</w:t>
      </w:r>
      <w:proofErr w:type="gramEnd"/>
      <w:r w:rsidRPr="00050A24">
        <w:rPr>
          <w:rFonts w:ascii="Times New Roman" w:eastAsia="Times New Roman" w:hAnsi="Times New Roman" w:cs="Times New Roman"/>
          <w:sz w:val="24"/>
          <w:szCs w:val="20"/>
        </w:rPr>
        <w:t>3 &gt;&gt;</w:t>
      </w:r>
    </w:p>
    <w:p w14:paraId="78DCC24C" w14:textId="77777777" w:rsidR="00D67761" w:rsidRPr="00050A24" w:rsidRDefault="00D67761" w:rsidP="00D67761">
      <w:pPr>
        <w:spacing w:after="0" w:line="240" w:lineRule="auto"/>
        <w:rPr>
          <w:rFonts w:ascii="Times New Roman Bold" w:eastAsia="Times New Roman" w:hAnsi="Times New Roman Bold" w:cs="Times New Roman"/>
          <w:b/>
          <w:bCs/>
          <w:smallCaps/>
          <w:sz w:val="24"/>
          <w:szCs w:val="20"/>
        </w:rPr>
      </w:pPr>
      <w:r w:rsidRPr="00050A24">
        <w:rPr>
          <w:rFonts w:ascii="Times New Roman Bold" w:eastAsia="Times New Roman" w:hAnsi="Times New Roman Bold" w:cs="Times New Roman"/>
          <w:b/>
          <w:bCs/>
          <w:smallCaps/>
          <w:sz w:val="24"/>
          <w:szCs w:val="20"/>
        </w:rPr>
        <w:t xml:space="preserve">&lt;&lt; </w:t>
      </w:r>
      <w:proofErr w:type="spellStart"/>
      <w:proofErr w:type="gramStart"/>
      <w:r w:rsidRPr="00050A24">
        <w:rPr>
          <w:rFonts w:ascii="Times New Roman Bold" w:eastAsia="Times New Roman" w:hAnsi="Times New Roman Bold" w:cs="Times New Roman"/>
          <w:b/>
          <w:bCs/>
          <w:smallCaps/>
          <w:sz w:val="24"/>
          <w:szCs w:val="20"/>
        </w:rPr>
        <w:t>Matter.CustomField.OcFirmName</w:t>
      </w:r>
      <w:proofErr w:type="spellEnd"/>
      <w:proofErr w:type="gramEnd"/>
      <w:r w:rsidRPr="00050A24">
        <w:rPr>
          <w:rFonts w:ascii="Times New Roman Bold" w:eastAsia="Times New Roman" w:hAnsi="Times New Roman Bold" w:cs="Times New Roman"/>
          <w:b/>
          <w:bCs/>
          <w:smallCaps/>
          <w:sz w:val="24"/>
          <w:szCs w:val="20"/>
        </w:rPr>
        <w:t xml:space="preserve"> &gt;&gt;</w:t>
      </w:r>
    </w:p>
    <w:p w14:paraId="4816D365" w14:textId="77777777" w:rsidR="00D67761" w:rsidRPr="00050A24" w:rsidRDefault="00D67761" w:rsidP="00D67761">
      <w:pPr>
        <w:spacing w:after="0" w:line="240" w:lineRule="auto"/>
        <w:rPr>
          <w:rFonts w:ascii="Times New Roman" w:eastAsia="Times New Roman" w:hAnsi="Times New Roman" w:cs="Times New Roman"/>
          <w:sz w:val="24"/>
          <w:szCs w:val="20"/>
        </w:rPr>
      </w:pPr>
      <w:r w:rsidRPr="00050A24">
        <w:rPr>
          <w:rFonts w:ascii="Times New Roman" w:eastAsia="Times New Roman" w:hAnsi="Times New Roman" w:cs="Times New Roman"/>
          <w:sz w:val="24"/>
          <w:szCs w:val="20"/>
        </w:rPr>
        <w:t xml:space="preserve">&lt;&lt; </w:t>
      </w:r>
      <w:proofErr w:type="spellStart"/>
      <w:proofErr w:type="gramStart"/>
      <w:r w:rsidRPr="00050A24">
        <w:rPr>
          <w:rFonts w:ascii="Times New Roman" w:eastAsia="Times New Roman" w:hAnsi="Times New Roman" w:cs="Times New Roman"/>
          <w:sz w:val="24"/>
          <w:szCs w:val="20"/>
        </w:rPr>
        <w:t>Matter.CustomField.OcStreetAddress</w:t>
      </w:r>
      <w:proofErr w:type="spellEnd"/>
      <w:proofErr w:type="gramEnd"/>
      <w:r w:rsidRPr="00050A24">
        <w:rPr>
          <w:rFonts w:ascii="Times New Roman" w:eastAsia="Times New Roman" w:hAnsi="Times New Roman" w:cs="Times New Roman"/>
          <w:sz w:val="24"/>
          <w:szCs w:val="20"/>
        </w:rPr>
        <w:t xml:space="preserve"> &gt;&gt;</w:t>
      </w:r>
    </w:p>
    <w:p w14:paraId="2EB8B836" w14:textId="77777777" w:rsidR="00D67761" w:rsidRPr="00050A24" w:rsidRDefault="00D67761" w:rsidP="00D67761">
      <w:pPr>
        <w:spacing w:after="0" w:line="240" w:lineRule="auto"/>
        <w:rPr>
          <w:rFonts w:ascii="Times New Roman" w:eastAsia="Times New Roman" w:hAnsi="Times New Roman" w:cs="Times New Roman"/>
          <w:sz w:val="24"/>
          <w:szCs w:val="20"/>
        </w:rPr>
      </w:pPr>
      <w:r w:rsidRPr="00050A24">
        <w:rPr>
          <w:rFonts w:ascii="Times New Roman" w:eastAsia="Times New Roman" w:hAnsi="Times New Roman" w:cs="Times New Roman"/>
          <w:sz w:val="24"/>
          <w:szCs w:val="20"/>
        </w:rPr>
        <w:t xml:space="preserve">&lt;&lt; </w:t>
      </w:r>
      <w:proofErr w:type="spellStart"/>
      <w:proofErr w:type="gramStart"/>
      <w:r w:rsidRPr="00050A24">
        <w:rPr>
          <w:rFonts w:ascii="Times New Roman" w:eastAsia="Times New Roman" w:hAnsi="Times New Roman" w:cs="Times New Roman"/>
          <w:sz w:val="24"/>
          <w:szCs w:val="20"/>
        </w:rPr>
        <w:t>Matter.CustomField.OcCityStateZip</w:t>
      </w:r>
      <w:proofErr w:type="spellEnd"/>
      <w:proofErr w:type="gramEnd"/>
      <w:r w:rsidRPr="00050A24">
        <w:rPr>
          <w:rFonts w:ascii="Times New Roman" w:eastAsia="Times New Roman" w:hAnsi="Times New Roman" w:cs="Times New Roman"/>
          <w:sz w:val="24"/>
          <w:szCs w:val="20"/>
        </w:rPr>
        <w:t xml:space="preserve"> &gt;&gt;</w:t>
      </w:r>
    </w:p>
    <w:p w14:paraId="7F7FC661" w14:textId="77777777" w:rsidR="00D67761" w:rsidRPr="00050A24" w:rsidRDefault="00D67761" w:rsidP="00D67761">
      <w:pPr>
        <w:spacing w:after="0" w:line="240" w:lineRule="auto"/>
        <w:rPr>
          <w:rFonts w:ascii="Times New Roman" w:eastAsia="Times New Roman" w:hAnsi="Times New Roman" w:cs="Times New Roman"/>
          <w:sz w:val="24"/>
          <w:szCs w:val="20"/>
        </w:rPr>
      </w:pPr>
    </w:p>
    <w:p w14:paraId="63EA847A" w14:textId="77777777" w:rsidR="00D67761" w:rsidRPr="00050A24" w:rsidRDefault="00D67761" w:rsidP="00D67761">
      <w:pPr>
        <w:widowControl w:val="0"/>
        <w:spacing w:after="0" w:line="240" w:lineRule="auto"/>
        <w:ind w:left="1440" w:hanging="720"/>
        <w:rPr>
          <w:rFonts w:ascii="Times New Roman" w:eastAsia="Times New Roman" w:hAnsi="Times New Roman" w:cs="Times New Roman"/>
          <w:bCs/>
          <w:i/>
          <w:iCs/>
          <w:sz w:val="24"/>
          <w:szCs w:val="20"/>
        </w:rPr>
      </w:pPr>
      <w:r w:rsidRPr="00050A24">
        <w:rPr>
          <w:rFonts w:ascii="Times New Roman" w:eastAsia="Times New Roman" w:hAnsi="Times New Roman" w:cs="Times New Roman"/>
          <w:bCs/>
          <w:sz w:val="24"/>
          <w:szCs w:val="20"/>
        </w:rPr>
        <w:t>Re:</w:t>
      </w:r>
      <w:r w:rsidRPr="00050A24">
        <w:rPr>
          <w:rFonts w:ascii="Times New Roman" w:eastAsia="Times New Roman" w:hAnsi="Times New Roman" w:cs="Times New Roman"/>
          <w:b/>
          <w:sz w:val="24"/>
          <w:szCs w:val="20"/>
        </w:rPr>
        <w:tab/>
      </w:r>
      <w:r w:rsidRPr="00050A24">
        <w:rPr>
          <w:rFonts w:ascii="Times New Roman" w:eastAsia="Times New Roman" w:hAnsi="Times New Roman" w:cs="Times New Roman"/>
          <w:bCs/>
          <w:i/>
          <w:iCs/>
          <w:sz w:val="24"/>
          <w:szCs w:val="20"/>
        </w:rPr>
        <w:t xml:space="preserve">&lt;&lt; </w:t>
      </w:r>
      <w:proofErr w:type="spellStart"/>
      <w:proofErr w:type="gramStart"/>
      <w:r w:rsidRPr="00050A24">
        <w:rPr>
          <w:rFonts w:ascii="Times New Roman" w:eastAsia="Times New Roman" w:hAnsi="Times New Roman" w:cs="Times New Roman"/>
          <w:bCs/>
          <w:i/>
          <w:iCs/>
          <w:sz w:val="24"/>
          <w:szCs w:val="20"/>
        </w:rPr>
        <w:t>Matter.Customfield.Casenameshort</w:t>
      </w:r>
      <w:proofErr w:type="spellEnd"/>
      <w:proofErr w:type="gramEnd"/>
      <w:r w:rsidRPr="00050A24">
        <w:rPr>
          <w:rFonts w:ascii="Times New Roman" w:eastAsia="Times New Roman" w:hAnsi="Times New Roman" w:cs="Times New Roman"/>
          <w:bCs/>
          <w:i/>
          <w:iCs/>
          <w:sz w:val="24"/>
          <w:szCs w:val="20"/>
        </w:rPr>
        <w:t xml:space="preserve"> &gt;&gt;</w:t>
      </w:r>
    </w:p>
    <w:p w14:paraId="36E9254C" w14:textId="77777777" w:rsidR="00D67761" w:rsidRPr="00050A24" w:rsidRDefault="00D67761" w:rsidP="00D67761">
      <w:pPr>
        <w:widowControl w:val="0"/>
        <w:spacing w:after="0" w:line="240" w:lineRule="auto"/>
        <w:rPr>
          <w:rFonts w:ascii="Times New Roman" w:eastAsia="Times New Roman" w:hAnsi="Times New Roman" w:cs="Times New Roman"/>
          <w:bCs/>
          <w:i/>
          <w:iCs/>
          <w:sz w:val="24"/>
          <w:szCs w:val="20"/>
        </w:rPr>
      </w:pPr>
      <w:r w:rsidRPr="00050A24">
        <w:rPr>
          <w:rFonts w:ascii="Times New Roman" w:eastAsia="Times New Roman" w:hAnsi="Times New Roman" w:cs="Times New Roman"/>
          <w:bCs/>
          <w:i/>
          <w:iCs/>
          <w:sz w:val="24"/>
          <w:szCs w:val="20"/>
        </w:rPr>
        <w:t xml:space="preserve"> </w:t>
      </w:r>
      <w:r w:rsidRPr="00050A24">
        <w:rPr>
          <w:rFonts w:ascii="Times New Roman" w:eastAsia="Times New Roman" w:hAnsi="Times New Roman" w:cs="Times New Roman"/>
          <w:bCs/>
          <w:i/>
          <w:iCs/>
          <w:sz w:val="24"/>
          <w:szCs w:val="20"/>
        </w:rPr>
        <w:tab/>
      </w:r>
      <w:r w:rsidRPr="00050A24">
        <w:rPr>
          <w:rFonts w:ascii="Times New Roman" w:eastAsia="Times New Roman" w:hAnsi="Times New Roman" w:cs="Times New Roman"/>
          <w:bCs/>
          <w:i/>
          <w:iCs/>
          <w:sz w:val="24"/>
          <w:szCs w:val="20"/>
        </w:rPr>
        <w:tab/>
        <w:t xml:space="preserve">&lt;&lt; </w:t>
      </w:r>
      <w:proofErr w:type="spellStart"/>
      <w:proofErr w:type="gramStart"/>
      <w:r w:rsidRPr="00050A24">
        <w:rPr>
          <w:rFonts w:ascii="Times New Roman" w:eastAsia="Times New Roman" w:hAnsi="Times New Roman" w:cs="Times New Roman"/>
          <w:bCs/>
          <w:i/>
          <w:iCs/>
          <w:sz w:val="24"/>
          <w:szCs w:val="20"/>
        </w:rPr>
        <w:t>Matter.Customfield.County</w:t>
      </w:r>
      <w:proofErr w:type="spellEnd"/>
      <w:proofErr w:type="gramEnd"/>
      <w:r w:rsidRPr="00050A24">
        <w:rPr>
          <w:rFonts w:ascii="Times New Roman" w:eastAsia="Times New Roman" w:hAnsi="Times New Roman" w:cs="Times New Roman"/>
          <w:bCs/>
          <w:i/>
          <w:iCs/>
          <w:sz w:val="24"/>
          <w:szCs w:val="20"/>
        </w:rPr>
        <w:t xml:space="preserve"> &gt;&gt; County Superior Court Case No.: &lt;&lt; </w:t>
      </w:r>
      <w:proofErr w:type="spellStart"/>
      <w:r w:rsidRPr="00050A24">
        <w:rPr>
          <w:rFonts w:ascii="Times New Roman" w:eastAsia="Times New Roman" w:hAnsi="Times New Roman" w:cs="Times New Roman"/>
          <w:bCs/>
          <w:i/>
          <w:iCs/>
          <w:sz w:val="24"/>
          <w:szCs w:val="20"/>
        </w:rPr>
        <w:t>Matter.CustomField.CaseNumber</w:t>
      </w:r>
      <w:proofErr w:type="spellEnd"/>
      <w:r w:rsidRPr="00050A24">
        <w:rPr>
          <w:rFonts w:ascii="Times New Roman" w:eastAsia="Times New Roman" w:hAnsi="Times New Roman" w:cs="Times New Roman"/>
          <w:bCs/>
          <w:i/>
          <w:iCs/>
          <w:sz w:val="24"/>
          <w:szCs w:val="20"/>
        </w:rPr>
        <w:t xml:space="preserve"> &gt;&gt;</w:t>
      </w:r>
    </w:p>
    <w:p w14:paraId="29489A72" w14:textId="59CC0003" w:rsidR="00D67761" w:rsidRPr="00D67761" w:rsidRDefault="00D67761" w:rsidP="00D67761">
      <w:pPr>
        <w:widowControl w:val="0"/>
        <w:spacing w:after="0" w:line="240" w:lineRule="auto"/>
        <w:rPr>
          <w:rFonts w:ascii="Times New Roman" w:eastAsia="Times New Roman" w:hAnsi="Times New Roman" w:cs="Times New Roman"/>
          <w:bCs/>
          <w:i/>
          <w:iCs/>
          <w:sz w:val="24"/>
          <w:szCs w:val="20"/>
        </w:rPr>
      </w:pPr>
      <w:r w:rsidRPr="00050A24">
        <w:rPr>
          <w:rFonts w:ascii="Times New Roman" w:eastAsia="Times New Roman" w:hAnsi="Times New Roman" w:cs="Times New Roman"/>
          <w:bCs/>
          <w:i/>
          <w:iCs/>
          <w:sz w:val="24"/>
          <w:szCs w:val="20"/>
        </w:rPr>
        <w:t xml:space="preserve">                       </w:t>
      </w:r>
      <w:r w:rsidRPr="00D67761">
        <w:rPr>
          <w:rFonts w:ascii="Times New Roman" w:eastAsia="Times New Roman" w:hAnsi="Times New Roman" w:cs="Times New Roman"/>
          <w:i/>
          <w:sz w:val="24"/>
          <w:szCs w:val="20"/>
          <w:u w:val="single"/>
        </w:rPr>
        <w:t xml:space="preserve">Meet and Confer on </w:t>
      </w:r>
      <w:r w:rsidR="00FA4057">
        <w:rPr>
          <w:rFonts w:ascii="Times New Roman" w:eastAsia="Times New Roman" w:hAnsi="Times New Roman" w:cs="Times New Roman"/>
          <w:i/>
          <w:sz w:val="24"/>
          <w:szCs w:val="20"/>
          <w:u w:val="single"/>
        </w:rPr>
        <w:t xml:space="preserve">Defendant’s Discovery Responses </w:t>
      </w:r>
    </w:p>
    <w:p w14:paraId="1162CC86" w14:textId="77777777" w:rsidR="00D67761" w:rsidRDefault="00D67761" w:rsidP="00822E17">
      <w:pPr>
        <w:spacing w:after="0" w:line="240" w:lineRule="auto"/>
        <w:rPr>
          <w:rFonts w:ascii="Times" w:hAnsi="Times"/>
          <w:i/>
          <w:iCs/>
          <w:sz w:val="24"/>
          <w:szCs w:val="24"/>
          <w:u w:val="single"/>
        </w:rPr>
      </w:pPr>
    </w:p>
    <w:p w14:paraId="26952559" w14:textId="42C687FF" w:rsidR="00822E17" w:rsidRDefault="00822E17" w:rsidP="00822E17">
      <w:pPr>
        <w:spacing w:after="0" w:line="240" w:lineRule="auto"/>
        <w:rPr>
          <w:rFonts w:ascii="Times" w:hAnsi="Times"/>
          <w:i/>
          <w:iCs/>
          <w:sz w:val="24"/>
          <w:szCs w:val="24"/>
          <w:u w:val="single"/>
        </w:rPr>
      </w:pPr>
    </w:p>
    <w:p w14:paraId="555C121C" w14:textId="20C7B61F" w:rsidR="00822E17" w:rsidRDefault="00822E17" w:rsidP="00822E17">
      <w:pPr>
        <w:spacing w:after="0" w:line="240" w:lineRule="auto"/>
        <w:rPr>
          <w:rFonts w:ascii="Times" w:hAnsi="Times"/>
          <w:sz w:val="24"/>
          <w:szCs w:val="24"/>
        </w:rPr>
      </w:pPr>
      <w:r>
        <w:rPr>
          <w:rFonts w:ascii="Times" w:hAnsi="Times"/>
          <w:sz w:val="24"/>
          <w:szCs w:val="24"/>
        </w:rPr>
        <w:t>Dear Counsel:</w:t>
      </w:r>
    </w:p>
    <w:p w14:paraId="28A28E44" w14:textId="7F3899B8" w:rsidR="00822E17" w:rsidRDefault="00822E17" w:rsidP="00822E17">
      <w:pPr>
        <w:spacing w:after="0" w:line="240" w:lineRule="auto"/>
        <w:rPr>
          <w:rFonts w:ascii="Times" w:hAnsi="Times"/>
          <w:sz w:val="24"/>
          <w:szCs w:val="24"/>
        </w:rPr>
      </w:pPr>
    </w:p>
    <w:p w14:paraId="396E31F0" w14:textId="6EA6AA6E" w:rsidR="00822E17" w:rsidRDefault="00822E17" w:rsidP="00EA28E9">
      <w:pPr>
        <w:spacing w:after="0" w:line="240" w:lineRule="auto"/>
        <w:ind w:firstLine="720"/>
        <w:jc w:val="both"/>
        <w:rPr>
          <w:rFonts w:ascii="Times" w:hAnsi="Times"/>
          <w:sz w:val="24"/>
          <w:szCs w:val="24"/>
        </w:rPr>
      </w:pPr>
      <w:r>
        <w:rPr>
          <w:rFonts w:ascii="Times" w:hAnsi="Times"/>
          <w:sz w:val="24"/>
          <w:szCs w:val="24"/>
        </w:rPr>
        <w:t>We are in receipt of Defendant, Nissan North America, Inc.’s, responses to Plaintiff’s initial set of discovery requests. We are writing pursuant to C.C.P. 2030.000, 2031.310, 2033.290, and 2016.040 to meet and confer regarding the following issues with those responses. It is our hope that by way of this communication we will be able to avoid the need for court intervention. The following represents a good-faith effort to resolve the matters informally by meeting and conferring. We have only discussed responses which we genuinely believe to be deficient and warranting of a further response.</w:t>
      </w:r>
    </w:p>
    <w:p w14:paraId="0AE534BA" w14:textId="1624734D" w:rsidR="00822E17" w:rsidRDefault="00822E17" w:rsidP="00EA28E9">
      <w:pPr>
        <w:spacing w:after="0" w:line="240" w:lineRule="auto"/>
        <w:jc w:val="both"/>
        <w:rPr>
          <w:rFonts w:ascii="Times" w:hAnsi="Times"/>
          <w:sz w:val="24"/>
          <w:szCs w:val="24"/>
        </w:rPr>
      </w:pPr>
    </w:p>
    <w:p w14:paraId="0F681F80" w14:textId="1312E5FE" w:rsidR="00822E17" w:rsidRDefault="001576B8" w:rsidP="00EA28E9">
      <w:pPr>
        <w:spacing w:after="0" w:line="240" w:lineRule="auto"/>
        <w:jc w:val="both"/>
        <w:rPr>
          <w:rFonts w:ascii="Times" w:hAnsi="Times"/>
          <w:sz w:val="24"/>
          <w:szCs w:val="24"/>
        </w:rPr>
      </w:pPr>
      <w:r>
        <w:rPr>
          <w:rFonts w:ascii="Times" w:hAnsi="Times"/>
          <w:sz w:val="24"/>
          <w:szCs w:val="24"/>
        </w:rPr>
        <w:tab/>
      </w:r>
      <w:r w:rsidRPr="004D2BA7">
        <w:rPr>
          <w:rFonts w:ascii="Times" w:hAnsi="Times"/>
          <w:sz w:val="24"/>
          <w:szCs w:val="24"/>
        </w:rPr>
        <w:t>As an initial note, we are no</w:t>
      </w:r>
      <w:r w:rsidR="00EA28E9" w:rsidRPr="004D2BA7">
        <w:rPr>
          <w:rFonts w:ascii="Times" w:hAnsi="Times"/>
          <w:sz w:val="24"/>
          <w:szCs w:val="24"/>
        </w:rPr>
        <w:t>t in</w:t>
      </w:r>
      <w:r w:rsidRPr="004D2BA7">
        <w:rPr>
          <w:rFonts w:ascii="Times" w:hAnsi="Times"/>
          <w:sz w:val="24"/>
          <w:szCs w:val="24"/>
        </w:rPr>
        <w:t xml:space="preserve"> receipt of any verifications for the said responses. As you are aware that no verifications amount to no responses at all. (See </w:t>
      </w:r>
      <w:r w:rsidRPr="004D2BA7">
        <w:rPr>
          <w:rFonts w:ascii="Times" w:hAnsi="Times"/>
          <w:i/>
          <w:iCs/>
          <w:sz w:val="24"/>
          <w:szCs w:val="24"/>
        </w:rPr>
        <w:t xml:space="preserve">Schaff v. Superior Court </w:t>
      </w:r>
      <w:r w:rsidRPr="004D2BA7">
        <w:rPr>
          <w:rFonts w:ascii="Times" w:hAnsi="Times"/>
          <w:sz w:val="24"/>
          <w:szCs w:val="24"/>
        </w:rPr>
        <w:t xml:space="preserve">(1982) 146 Cal.App.3d 921, 924; </w:t>
      </w:r>
      <w:r w:rsidRPr="004D2BA7">
        <w:rPr>
          <w:rFonts w:ascii="Times" w:hAnsi="Times"/>
          <w:i/>
          <w:iCs/>
          <w:sz w:val="24"/>
          <w:szCs w:val="24"/>
        </w:rPr>
        <w:t xml:space="preserve">Appleton v. Sup. Ct. </w:t>
      </w:r>
      <w:r w:rsidRPr="004D2BA7">
        <w:rPr>
          <w:rFonts w:ascii="Times" w:hAnsi="Times"/>
          <w:sz w:val="24"/>
          <w:szCs w:val="24"/>
        </w:rPr>
        <w:t>(1988) 206 Cal.App.3d 632, 636.) Kindly provide us with verifications for the said responses.</w:t>
      </w:r>
      <w:r>
        <w:rPr>
          <w:rFonts w:ascii="Times" w:hAnsi="Times"/>
          <w:sz w:val="24"/>
          <w:szCs w:val="24"/>
        </w:rPr>
        <w:t xml:space="preserve"> </w:t>
      </w:r>
    </w:p>
    <w:p w14:paraId="570DEEE7" w14:textId="4C930582" w:rsidR="004D2BA7" w:rsidRDefault="004D2BA7" w:rsidP="00EA28E9">
      <w:pPr>
        <w:spacing w:after="0" w:line="240" w:lineRule="auto"/>
        <w:jc w:val="both"/>
        <w:rPr>
          <w:rFonts w:ascii="Times" w:hAnsi="Times"/>
          <w:sz w:val="24"/>
          <w:szCs w:val="24"/>
        </w:rPr>
      </w:pPr>
    </w:p>
    <w:p w14:paraId="46181633" w14:textId="77777777" w:rsidR="004D2BA7" w:rsidRPr="004D2BA7" w:rsidRDefault="004D2BA7" w:rsidP="00357CA0">
      <w:pPr>
        <w:spacing w:after="0" w:line="240" w:lineRule="auto"/>
        <w:ind w:firstLine="720"/>
        <w:jc w:val="both"/>
        <w:rPr>
          <w:rFonts w:ascii="Times" w:hAnsi="Times"/>
          <w:sz w:val="24"/>
          <w:szCs w:val="24"/>
        </w:rPr>
      </w:pPr>
      <w:r w:rsidRPr="004D2BA7">
        <w:rPr>
          <w:rFonts w:ascii="Times" w:hAnsi="Times"/>
          <w:sz w:val="24"/>
          <w:szCs w:val="24"/>
        </w:rPr>
        <w:t xml:space="preserve">Below, Plaintiffs identify the issues with Defendant’s discovery responses in an attempt to resolve the outstanding discovery dispute in good faith without the need for judicial intervention. </w:t>
      </w:r>
    </w:p>
    <w:p w14:paraId="251872B4" w14:textId="77777777" w:rsidR="004D2BA7" w:rsidRPr="004D2BA7" w:rsidRDefault="004D2BA7" w:rsidP="004D2BA7">
      <w:pPr>
        <w:spacing w:after="0" w:line="240" w:lineRule="auto"/>
        <w:jc w:val="both"/>
        <w:rPr>
          <w:rFonts w:ascii="Times" w:hAnsi="Times"/>
          <w:sz w:val="24"/>
          <w:szCs w:val="24"/>
        </w:rPr>
      </w:pPr>
    </w:p>
    <w:p w14:paraId="0639F8F0" w14:textId="77777777" w:rsidR="004D2BA7" w:rsidRDefault="004D2BA7" w:rsidP="004D2BA7">
      <w:pPr>
        <w:spacing w:after="0" w:line="240" w:lineRule="auto"/>
        <w:jc w:val="center"/>
        <w:rPr>
          <w:rFonts w:ascii="Times" w:hAnsi="Times"/>
          <w:b/>
          <w:bCs/>
          <w:sz w:val="24"/>
          <w:szCs w:val="24"/>
          <w:u w:val="single"/>
        </w:rPr>
      </w:pPr>
    </w:p>
    <w:p w14:paraId="6DC858A0" w14:textId="77777777" w:rsidR="004D2BA7" w:rsidRDefault="004D2BA7" w:rsidP="004D2BA7">
      <w:pPr>
        <w:spacing w:after="0" w:line="240" w:lineRule="auto"/>
        <w:jc w:val="center"/>
        <w:rPr>
          <w:rFonts w:ascii="Times" w:hAnsi="Times"/>
          <w:b/>
          <w:bCs/>
          <w:sz w:val="24"/>
          <w:szCs w:val="24"/>
          <w:u w:val="single"/>
        </w:rPr>
      </w:pPr>
    </w:p>
    <w:p w14:paraId="3434BCF1" w14:textId="0DF40090" w:rsidR="004D2BA7" w:rsidRDefault="004D2BA7" w:rsidP="004D2BA7">
      <w:pPr>
        <w:spacing w:after="0" w:line="240" w:lineRule="auto"/>
        <w:jc w:val="center"/>
        <w:rPr>
          <w:rFonts w:ascii="Times" w:hAnsi="Times"/>
          <w:b/>
          <w:bCs/>
          <w:sz w:val="24"/>
          <w:szCs w:val="24"/>
          <w:u w:val="single"/>
        </w:rPr>
      </w:pPr>
    </w:p>
    <w:p w14:paraId="64C64012" w14:textId="2494CF61" w:rsidR="0045710D" w:rsidRDefault="0045710D" w:rsidP="004D2BA7">
      <w:pPr>
        <w:spacing w:after="0" w:line="240" w:lineRule="auto"/>
        <w:jc w:val="center"/>
        <w:rPr>
          <w:rFonts w:ascii="Times" w:hAnsi="Times"/>
          <w:b/>
          <w:bCs/>
          <w:sz w:val="24"/>
          <w:szCs w:val="24"/>
          <w:u w:val="single"/>
        </w:rPr>
      </w:pPr>
    </w:p>
    <w:p w14:paraId="7BE471BC" w14:textId="05EC2DAA" w:rsidR="0045710D" w:rsidRDefault="0045710D" w:rsidP="004D2BA7">
      <w:pPr>
        <w:spacing w:after="0" w:line="240" w:lineRule="auto"/>
        <w:jc w:val="center"/>
        <w:rPr>
          <w:rFonts w:ascii="Times" w:hAnsi="Times"/>
          <w:b/>
          <w:bCs/>
          <w:sz w:val="24"/>
          <w:szCs w:val="24"/>
          <w:u w:val="single"/>
        </w:rPr>
      </w:pPr>
    </w:p>
    <w:p w14:paraId="50A089AE" w14:textId="77777777" w:rsidR="0045710D" w:rsidRDefault="0045710D" w:rsidP="004D2BA7">
      <w:pPr>
        <w:spacing w:after="0" w:line="240" w:lineRule="auto"/>
        <w:jc w:val="center"/>
        <w:rPr>
          <w:rFonts w:ascii="Times" w:hAnsi="Times"/>
          <w:b/>
          <w:bCs/>
          <w:sz w:val="24"/>
          <w:szCs w:val="24"/>
          <w:u w:val="single"/>
        </w:rPr>
      </w:pPr>
    </w:p>
    <w:p w14:paraId="35F52481" w14:textId="39FCD99A" w:rsidR="004D2BA7" w:rsidRPr="004D2BA7" w:rsidRDefault="004D2BA7" w:rsidP="004D2BA7">
      <w:pPr>
        <w:spacing w:after="0" w:line="240" w:lineRule="auto"/>
        <w:jc w:val="center"/>
        <w:rPr>
          <w:rFonts w:ascii="Times" w:hAnsi="Times"/>
          <w:b/>
          <w:bCs/>
          <w:sz w:val="24"/>
          <w:szCs w:val="24"/>
          <w:u w:val="single"/>
        </w:rPr>
      </w:pPr>
      <w:r w:rsidRPr="004D2BA7">
        <w:rPr>
          <w:rFonts w:ascii="Times" w:hAnsi="Times"/>
          <w:b/>
          <w:bCs/>
          <w:sz w:val="24"/>
          <w:szCs w:val="24"/>
          <w:u w:val="single"/>
        </w:rPr>
        <w:t>REQUESTS FOR ADMISSIONS</w:t>
      </w:r>
    </w:p>
    <w:p w14:paraId="18863CC9" w14:textId="77777777" w:rsidR="004D2BA7" w:rsidRPr="004D2BA7" w:rsidRDefault="004D2BA7" w:rsidP="004D2BA7">
      <w:pPr>
        <w:spacing w:after="0" w:line="240" w:lineRule="auto"/>
        <w:jc w:val="both"/>
        <w:rPr>
          <w:rFonts w:ascii="Times" w:hAnsi="Times"/>
          <w:b/>
          <w:bCs/>
          <w:sz w:val="24"/>
          <w:szCs w:val="24"/>
          <w:u w:val="single"/>
        </w:rPr>
      </w:pPr>
    </w:p>
    <w:p w14:paraId="70D6AF47" w14:textId="77777777" w:rsidR="004D2BA7" w:rsidRPr="004D2BA7" w:rsidRDefault="004D2BA7" w:rsidP="00357CA0">
      <w:pPr>
        <w:spacing w:after="0" w:line="240" w:lineRule="auto"/>
        <w:ind w:firstLine="360"/>
        <w:jc w:val="both"/>
        <w:rPr>
          <w:rFonts w:ascii="Times" w:hAnsi="Times"/>
          <w:sz w:val="24"/>
          <w:szCs w:val="24"/>
        </w:rPr>
      </w:pPr>
      <w:r w:rsidRPr="004D2BA7">
        <w:rPr>
          <w:rFonts w:ascii="Times" w:hAnsi="Times"/>
          <w:sz w:val="24"/>
          <w:szCs w:val="24"/>
        </w:rPr>
        <w:t xml:space="preserve">Defendant’s responses fail to comply with the requirements of a proper response to request for admission, because they are incomplete, nonresponsive, and/or evasive. Code of Civil Procedure § 2033.220 provides: </w:t>
      </w:r>
    </w:p>
    <w:p w14:paraId="770F22D6" w14:textId="77777777" w:rsidR="004D2BA7" w:rsidRPr="004D2BA7" w:rsidRDefault="004D2BA7" w:rsidP="004D2BA7">
      <w:pPr>
        <w:spacing w:after="0" w:line="240" w:lineRule="auto"/>
        <w:jc w:val="both"/>
        <w:rPr>
          <w:rFonts w:ascii="Times" w:hAnsi="Times"/>
          <w:sz w:val="24"/>
          <w:szCs w:val="24"/>
        </w:rPr>
      </w:pPr>
    </w:p>
    <w:p w14:paraId="1AB86940" w14:textId="77777777" w:rsidR="004D2BA7" w:rsidRPr="004D2BA7" w:rsidRDefault="004D2BA7" w:rsidP="004D2BA7">
      <w:pPr>
        <w:numPr>
          <w:ilvl w:val="0"/>
          <w:numId w:val="3"/>
        </w:numPr>
        <w:spacing w:after="0" w:line="240" w:lineRule="auto"/>
        <w:jc w:val="both"/>
        <w:rPr>
          <w:rFonts w:ascii="Times" w:hAnsi="Times"/>
          <w:sz w:val="24"/>
          <w:szCs w:val="24"/>
        </w:rPr>
      </w:pPr>
      <w:r w:rsidRPr="004D2BA7">
        <w:rPr>
          <w:rFonts w:ascii="Times" w:hAnsi="Times"/>
          <w:sz w:val="24"/>
          <w:szCs w:val="24"/>
        </w:rPr>
        <w:t>Each answer in a response to requests for admission shall be as complete and straightforward as the information reasonably available to the responding party permits.</w:t>
      </w:r>
    </w:p>
    <w:p w14:paraId="2FAA7951" w14:textId="77777777" w:rsidR="004D2BA7" w:rsidRPr="004D2BA7" w:rsidRDefault="004D2BA7" w:rsidP="004D2BA7">
      <w:pPr>
        <w:spacing w:after="0" w:line="240" w:lineRule="auto"/>
        <w:jc w:val="both"/>
        <w:rPr>
          <w:rFonts w:ascii="Times" w:hAnsi="Times"/>
          <w:sz w:val="24"/>
          <w:szCs w:val="24"/>
        </w:rPr>
      </w:pPr>
    </w:p>
    <w:p w14:paraId="39FCF3B0" w14:textId="77777777" w:rsidR="004D2BA7" w:rsidRPr="004D2BA7" w:rsidRDefault="004D2BA7" w:rsidP="004D2BA7">
      <w:pPr>
        <w:numPr>
          <w:ilvl w:val="0"/>
          <w:numId w:val="3"/>
        </w:numPr>
        <w:spacing w:after="0" w:line="240" w:lineRule="auto"/>
        <w:jc w:val="both"/>
        <w:rPr>
          <w:rFonts w:ascii="Times" w:hAnsi="Times"/>
          <w:sz w:val="24"/>
          <w:szCs w:val="24"/>
        </w:rPr>
      </w:pPr>
      <w:r w:rsidRPr="004D2BA7">
        <w:rPr>
          <w:rFonts w:ascii="Times" w:hAnsi="Times"/>
          <w:sz w:val="24"/>
          <w:szCs w:val="24"/>
        </w:rPr>
        <w:t>Each answer shall:</w:t>
      </w:r>
    </w:p>
    <w:p w14:paraId="381D89EB" w14:textId="77777777" w:rsidR="004D2BA7" w:rsidRPr="004D2BA7" w:rsidRDefault="004D2BA7" w:rsidP="004D2BA7">
      <w:pPr>
        <w:spacing w:after="0" w:line="240" w:lineRule="auto"/>
        <w:jc w:val="both"/>
        <w:rPr>
          <w:rFonts w:ascii="Times" w:hAnsi="Times"/>
          <w:sz w:val="24"/>
          <w:szCs w:val="24"/>
        </w:rPr>
      </w:pPr>
    </w:p>
    <w:p w14:paraId="6040D42F" w14:textId="77777777" w:rsidR="004D2BA7" w:rsidRPr="004D2BA7" w:rsidRDefault="004D2BA7" w:rsidP="004D2BA7">
      <w:pPr>
        <w:spacing w:after="0" w:line="240" w:lineRule="auto"/>
        <w:jc w:val="both"/>
        <w:rPr>
          <w:rFonts w:ascii="Times" w:hAnsi="Times"/>
          <w:sz w:val="24"/>
          <w:szCs w:val="24"/>
        </w:rPr>
      </w:pPr>
      <w:r w:rsidRPr="004D2BA7">
        <w:rPr>
          <w:rFonts w:ascii="Times" w:hAnsi="Times"/>
          <w:sz w:val="24"/>
          <w:szCs w:val="24"/>
        </w:rPr>
        <w:t>(1) Admit so much of the matter involved in the request as is true, either as expressed in the request itself or as reasonably and clearly qualified by the responding party.</w:t>
      </w:r>
    </w:p>
    <w:p w14:paraId="32190AC8" w14:textId="77777777" w:rsidR="004D2BA7" w:rsidRPr="004D2BA7" w:rsidRDefault="004D2BA7" w:rsidP="004D2BA7">
      <w:pPr>
        <w:spacing w:after="0" w:line="240" w:lineRule="auto"/>
        <w:jc w:val="both"/>
        <w:rPr>
          <w:rFonts w:ascii="Times" w:hAnsi="Times"/>
          <w:sz w:val="24"/>
          <w:szCs w:val="24"/>
        </w:rPr>
      </w:pPr>
      <w:r w:rsidRPr="004D2BA7">
        <w:rPr>
          <w:rFonts w:ascii="Times" w:hAnsi="Times"/>
          <w:sz w:val="24"/>
          <w:szCs w:val="24"/>
        </w:rPr>
        <w:t>(2) Deny so much of the matter involved in the request as is untrue.</w:t>
      </w:r>
    </w:p>
    <w:p w14:paraId="05BF703A" w14:textId="77777777" w:rsidR="004D2BA7" w:rsidRPr="004D2BA7" w:rsidRDefault="004D2BA7" w:rsidP="004D2BA7">
      <w:pPr>
        <w:spacing w:after="0" w:line="240" w:lineRule="auto"/>
        <w:jc w:val="both"/>
        <w:rPr>
          <w:rFonts w:ascii="Times" w:hAnsi="Times"/>
          <w:sz w:val="24"/>
          <w:szCs w:val="24"/>
        </w:rPr>
      </w:pPr>
      <w:r w:rsidRPr="004D2BA7">
        <w:rPr>
          <w:rFonts w:ascii="Times" w:hAnsi="Times"/>
          <w:sz w:val="24"/>
          <w:szCs w:val="24"/>
        </w:rPr>
        <w:t>(3) Specify so much of the matter involved in the request as to the truth of which the responding party lacks sufficient information or knowledge.</w:t>
      </w:r>
    </w:p>
    <w:p w14:paraId="1C41252F" w14:textId="77777777" w:rsidR="004D2BA7" w:rsidRPr="004D2BA7" w:rsidRDefault="004D2BA7" w:rsidP="004D2BA7">
      <w:pPr>
        <w:spacing w:after="0" w:line="240" w:lineRule="auto"/>
        <w:jc w:val="both"/>
        <w:rPr>
          <w:rFonts w:ascii="Times" w:hAnsi="Times"/>
          <w:sz w:val="24"/>
          <w:szCs w:val="24"/>
        </w:rPr>
      </w:pPr>
    </w:p>
    <w:p w14:paraId="0A3C33D3" w14:textId="77777777" w:rsidR="004D2BA7" w:rsidRPr="004D2BA7" w:rsidRDefault="004D2BA7" w:rsidP="004D2BA7">
      <w:pPr>
        <w:numPr>
          <w:ilvl w:val="0"/>
          <w:numId w:val="3"/>
        </w:numPr>
        <w:spacing w:after="0" w:line="240" w:lineRule="auto"/>
        <w:jc w:val="both"/>
        <w:rPr>
          <w:rFonts w:ascii="Times" w:hAnsi="Times"/>
          <w:sz w:val="24"/>
          <w:szCs w:val="24"/>
        </w:rPr>
      </w:pPr>
      <w:r w:rsidRPr="004D2BA7">
        <w:rPr>
          <w:rFonts w:ascii="Times" w:hAnsi="Times"/>
          <w:sz w:val="24"/>
          <w:szCs w:val="24"/>
        </w:rPr>
        <w:t>If a responding party gives lack of information or knowledge as a reason for a failure to admit all or part of a request for admission, that party shall state in the answer that a reasonable inquiry concerning the matter in the particular request has been made, and that the information known or readily obtainable is insufficient to enable that party to admit the matter. Code Civ. Proc. § 2033.220.</w:t>
      </w:r>
    </w:p>
    <w:p w14:paraId="429CDE86" w14:textId="77777777" w:rsidR="004D2BA7" w:rsidRPr="004D2BA7" w:rsidRDefault="004D2BA7" w:rsidP="004D2BA7">
      <w:pPr>
        <w:spacing w:after="0" w:line="240" w:lineRule="auto"/>
        <w:jc w:val="both"/>
        <w:rPr>
          <w:rFonts w:ascii="Times" w:hAnsi="Times"/>
          <w:sz w:val="24"/>
          <w:szCs w:val="24"/>
        </w:rPr>
      </w:pPr>
    </w:p>
    <w:p w14:paraId="17118F5A" w14:textId="77777777" w:rsidR="004D2BA7" w:rsidRPr="004D2BA7" w:rsidRDefault="004D2BA7" w:rsidP="00357CA0">
      <w:pPr>
        <w:spacing w:after="0" w:line="240" w:lineRule="auto"/>
        <w:ind w:firstLine="360"/>
        <w:jc w:val="both"/>
        <w:rPr>
          <w:rFonts w:ascii="Times" w:hAnsi="Times"/>
          <w:sz w:val="24"/>
          <w:szCs w:val="24"/>
        </w:rPr>
      </w:pPr>
      <w:r w:rsidRPr="004D2BA7">
        <w:rPr>
          <w:rFonts w:ascii="Times" w:hAnsi="Times"/>
          <w:sz w:val="24"/>
          <w:szCs w:val="24"/>
        </w:rPr>
        <w:t xml:space="preserve">Specifically, the responding party is required to undertake a "good faith" effort to investigate sources reasonably available to him or her for purposes of formulating answers to Requests for Admissions. </w:t>
      </w:r>
      <w:r w:rsidRPr="004D2BA7">
        <w:rPr>
          <w:rFonts w:ascii="Times" w:hAnsi="Times"/>
          <w:i/>
          <w:iCs/>
          <w:sz w:val="24"/>
          <w:szCs w:val="24"/>
        </w:rPr>
        <w:t>See</w:t>
      </w:r>
      <w:r w:rsidRPr="004D2BA7">
        <w:rPr>
          <w:rFonts w:ascii="Times" w:hAnsi="Times"/>
          <w:sz w:val="24"/>
          <w:szCs w:val="24"/>
        </w:rPr>
        <w:t>, </w:t>
      </w:r>
      <w:r w:rsidRPr="004D2BA7">
        <w:rPr>
          <w:rFonts w:ascii="Times" w:hAnsi="Times"/>
          <w:i/>
          <w:iCs/>
          <w:sz w:val="24"/>
          <w:szCs w:val="24"/>
        </w:rPr>
        <w:t>Chodos v. Superior Court for Los Angeles County</w:t>
      </w:r>
      <w:r w:rsidRPr="004D2BA7">
        <w:rPr>
          <w:rFonts w:ascii="Times" w:hAnsi="Times"/>
          <w:sz w:val="24"/>
          <w:szCs w:val="24"/>
        </w:rPr>
        <w:t>, 215 Cal. App. 2d 318, 322 (2d Dist. 1963). In </w:t>
      </w:r>
      <w:proofErr w:type="spellStart"/>
      <w:r w:rsidRPr="004D2BA7">
        <w:rPr>
          <w:rFonts w:ascii="Times" w:hAnsi="Times"/>
          <w:i/>
          <w:iCs/>
          <w:sz w:val="24"/>
          <w:szCs w:val="24"/>
        </w:rPr>
        <w:t>Cembrook</w:t>
      </w:r>
      <w:proofErr w:type="spellEnd"/>
      <w:r w:rsidRPr="004D2BA7">
        <w:rPr>
          <w:rFonts w:ascii="Times" w:hAnsi="Times"/>
          <w:i/>
          <w:iCs/>
          <w:sz w:val="24"/>
          <w:szCs w:val="24"/>
        </w:rPr>
        <w:t xml:space="preserve"> v. Superior Court </w:t>
      </w:r>
      <w:proofErr w:type="gramStart"/>
      <w:r w:rsidRPr="004D2BA7">
        <w:rPr>
          <w:rFonts w:ascii="Times" w:hAnsi="Times"/>
          <w:i/>
          <w:iCs/>
          <w:sz w:val="24"/>
          <w:szCs w:val="24"/>
        </w:rPr>
        <w:t>In</w:t>
      </w:r>
      <w:proofErr w:type="gramEnd"/>
      <w:r w:rsidRPr="004D2BA7">
        <w:rPr>
          <w:rFonts w:ascii="Times" w:hAnsi="Times"/>
          <w:i/>
          <w:iCs/>
          <w:sz w:val="24"/>
          <w:szCs w:val="24"/>
        </w:rPr>
        <w:t xml:space="preserve"> and For City and County of San Francisco</w:t>
      </w:r>
      <w:r w:rsidRPr="004D2BA7">
        <w:rPr>
          <w:rFonts w:ascii="Times" w:hAnsi="Times"/>
          <w:sz w:val="24"/>
          <w:szCs w:val="24"/>
        </w:rPr>
        <w:t>, 56 Cal. 2d 423 (1961), the Court held that making no attempt to provide detailed reasons why responding party cannot truthfully admit or deny a request fails to constitute good faith. </w:t>
      </w:r>
      <w:proofErr w:type="spellStart"/>
      <w:r w:rsidRPr="004D2BA7">
        <w:rPr>
          <w:rFonts w:ascii="Times" w:hAnsi="Times"/>
          <w:i/>
          <w:iCs/>
          <w:sz w:val="24"/>
          <w:szCs w:val="24"/>
        </w:rPr>
        <w:t>Cembrook</w:t>
      </w:r>
      <w:proofErr w:type="spellEnd"/>
      <w:r w:rsidRPr="004D2BA7">
        <w:rPr>
          <w:rFonts w:ascii="Times" w:hAnsi="Times"/>
          <w:i/>
          <w:iCs/>
          <w:sz w:val="24"/>
          <w:szCs w:val="24"/>
        </w:rPr>
        <w:t xml:space="preserve"> v. Superior Court</w:t>
      </w:r>
      <w:r w:rsidRPr="004D2BA7">
        <w:rPr>
          <w:rFonts w:ascii="Times" w:hAnsi="Times"/>
          <w:sz w:val="24"/>
          <w:szCs w:val="24"/>
        </w:rPr>
        <w:t>, 56 Cal.2d at 430. The party has a duty to make a reasonable investigation to ascertain the facts and must base its response not only on its personal knowledge but also on those sources of information available to the party</w:t>
      </w:r>
      <w:r w:rsidRPr="004D2BA7">
        <w:rPr>
          <w:rFonts w:ascii="Times" w:hAnsi="Times"/>
          <w:i/>
          <w:iCs/>
          <w:sz w:val="24"/>
          <w:szCs w:val="24"/>
        </w:rPr>
        <w:t>. Wimberly v. Derby Cycle Corp.</w:t>
      </w:r>
      <w:r w:rsidRPr="004D2BA7">
        <w:rPr>
          <w:rFonts w:ascii="Times" w:hAnsi="Times"/>
          <w:sz w:val="24"/>
          <w:szCs w:val="24"/>
        </w:rPr>
        <w:t xml:space="preserve"> (1997) 56 Cal. App. 4th 618, 634-635. This would include the party's experts.</w:t>
      </w:r>
    </w:p>
    <w:p w14:paraId="17B52CEA" w14:textId="77777777" w:rsidR="004D2BA7" w:rsidRPr="004D2BA7" w:rsidRDefault="004D2BA7" w:rsidP="004D2BA7">
      <w:pPr>
        <w:spacing w:after="0" w:line="240" w:lineRule="auto"/>
        <w:jc w:val="both"/>
        <w:rPr>
          <w:rFonts w:ascii="Times" w:hAnsi="Times"/>
          <w:sz w:val="24"/>
          <w:szCs w:val="24"/>
        </w:rPr>
      </w:pPr>
    </w:p>
    <w:p w14:paraId="1C88CFD9" w14:textId="77777777" w:rsidR="004D2BA7" w:rsidRPr="004D2BA7" w:rsidRDefault="004D2BA7" w:rsidP="00357CA0">
      <w:pPr>
        <w:spacing w:after="0" w:line="240" w:lineRule="auto"/>
        <w:ind w:firstLine="360"/>
        <w:jc w:val="both"/>
        <w:rPr>
          <w:rFonts w:ascii="Times" w:hAnsi="Times"/>
          <w:sz w:val="24"/>
          <w:szCs w:val="24"/>
        </w:rPr>
      </w:pPr>
      <w:r w:rsidRPr="004D2BA7">
        <w:rPr>
          <w:rFonts w:ascii="Times" w:hAnsi="Times"/>
          <w:sz w:val="24"/>
          <w:szCs w:val="24"/>
        </w:rPr>
        <w:t xml:space="preserve">Here, Defendant’s responses to Plaintiffs’ mere 21 requests fail to comply with Code Civ. Proc. § 2033.220, because they are unresponsive and/or evasive. Plaintiffs’ requests seek basic information to provide their claims under the Song-Beverly Consumer Warranty Act (“Song-Beverly Act” or “the Act”). </w:t>
      </w:r>
    </w:p>
    <w:p w14:paraId="479A6C35" w14:textId="77777777" w:rsidR="004D2BA7" w:rsidRPr="004D2BA7" w:rsidRDefault="004D2BA7" w:rsidP="004D2BA7">
      <w:pPr>
        <w:spacing w:after="0" w:line="240" w:lineRule="auto"/>
        <w:jc w:val="both"/>
        <w:rPr>
          <w:rFonts w:ascii="Times" w:hAnsi="Times"/>
          <w:sz w:val="24"/>
          <w:szCs w:val="24"/>
        </w:rPr>
      </w:pPr>
    </w:p>
    <w:p w14:paraId="0A3605D3" w14:textId="77777777" w:rsidR="004D2BA7" w:rsidRPr="004D2BA7" w:rsidRDefault="004D2BA7" w:rsidP="00357CA0">
      <w:pPr>
        <w:spacing w:after="0" w:line="240" w:lineRule="auto"/>
        <w:ind w:firstLine="360"/>
        <w:jc w:val="both"/>
        <w:rPr>
          <w:rFonts w:ascii="Times" w:hAnsi="Times"/>
          <w:sz w:val="24"/>
          <w:szCs w:val="24"/>
        </w:rPr>
      </w:pPr>
      <w:r w:rsidRPr="004D2BA7">
        <w:rPr>
          <w:rFonts w:ascii="Times" w:hAnsi="Times"/>
          <w:sz w:val="24"/>
          <w:szCs w:val="24"/>
        </w:rPr>
        <w:t xml:space="preserve">For example, Plaintiffs’ Request for Admission (“RFA”) numbers 1 through 7 seek the basic elements required by CACI to prove their claims for Defendant’s breach of the express and implied warranty, and for violation of section 1793.2 of the Song-Beverly Act. Plaintiffs’ requests include whether Defendant is a manufacturer/distributor, whether the Subject Vehicle is a “consumer good,” a “new motor vehicle,” and information regarding whether the purchase of the Subject </w:t>
      </w:r>
      <w:r w:rsidRPr="004D2BA7">
        <w:rPr>
          <w:rFonts w:ascii="Times" w:hAnsi="Times"/>
          <w:sz w:val="24"/>
          <w:szCs w:val="24"/>
        </w:rPr>
        <w:lastRenderedPageBreak/>
        <w:t xml:space="preserve">Vehicle was accompanied by written warranties. Plaintiffs’ requests are straightforward and require further code-compliant responses without objections. </w:t>
      </w:r>
    </w:p>
    <w:p w14:paraId="558A1797" w14:textId="77777777" w:rsidR="004D2BA7" w:rsidRPr="004D2BA7" w:rsidRDefault="004D2BA7" w:rsidP="004D2BA7">
      <w:pPr>
        <w:spacing w:after="0" w:line="240" w:lineRule="auto"/>
        <w:jc w:val="both"/>
        <w:rPr>
          <w:rFonts w:ascii="Times" w:hAnsi="Times"/>
          <w:sz w:val="24"/>
          <w:szCs w:val="24"/>
        </w:rPr>
      </w:pPr>
    </w:p>
    <w:p w14:paraId="2DB7CE94" w14:textId="77777777" w:rsidR="004D2BA7" w:rsidRPr="004D2BA7" w:rsidRDefault="004D2BA7" w:rsidP="00357CA0">
      <w:pPr>
        <w:spacing w:after="0" w:line="240" w:lineRule="auto"/>
        <w:ind w:firstLine="360"/>
        <w:jc w:val="both"/>
        <w:rPr>
          <w:rFonts w:ascii="Times" w:hAnsi="Times"/>
          <w:sz w:val="24"/>
          <w:szCs w:val="24"/>
        </w:rPr>
      </w:pPr>
      <w:r w:rsidRPr="004D2BA7">
        <w:rPr>
          <w:rFonts w:ascii="Times" w:hAnsi="Times"/>
          <w:sz w:val="24"/>
          <w:szCs w:val="24"/>
        </w:rPr>
        <w:t xml:space="preserve">Plaintiffs’ RFA numbers 8 and 9 seek information regarding Defendant’s attempt to conform the Subject Vehicle to its express warranty, and whether it was successful in doing so. This goes to the heart of this case, and Plaintiffs are entitled to this information. </w:t>
      </w:r>
    </w:p>
    <w:p w14:paraId="7F7CCB9E" w14:textId="77777777" w:rsidR="004D2BA7" w:rsidRPr="004D2BA7" w:rsidRDefault="004D2BA7" w:rsidP="004D2BA7">
      <w:pPr>
        <w:spacing w:after="0" w:line="240" w:lineRule="auto"/>
        <w:jc w:val="both"/>
        <w:rPr>
          <w:rFonts w:ascii="Times" w:hAnsi="Times"/>
          <w:sz w:val="24"/>
          <w:szCs w:val="24"/>
        </w:rPr>
      </w:pPr>
    </w:p>
    <w:p w14:paraId="719C7404" w14:textId="77777777" w:rsidR="004D2BA7" w:rsidRPr="004D2BA7" w:rsidRDefault="004D2BA7" w:rsidP="00357CA0">
      <w:pPr>
        <w:spacing w:after="0" w:line="240" w:lineRule="auto"/>
        <w:ind w:firstLine="360"/>
        <w:jc w:val="both"/>
        <w:rPr>
          <w:rFonts w:ascii="Times" w:hAnsi="Times"/>
          <w:sz w:val="24"/>
          <w:szCs w:val="24"/>
        </w:rPr>
      </w:pPr>
      <w:r w:rsidRPr="004D2BA7">
        <w:rPr>
          <w:rFonts w:ascii="Times" w:hAnsi="Times"/>
          <w:sz w:val="24"/>
          <w:szCs w:val="24"/>
        </w:rPr>
        <w:t xml:space="preserve">Plaintiffs’ RFA 11 through 13, 17, 18, 19, 20, and 21 seek information regarding Defendant’s compliance with the Song-Beverly Act, to establish whether Defendant willfully violated its affirmative duties under the Act. As you know, an automobile buyer may also obtain a penalty of two times actual damages without a showing of willfulness under some circumstances. </w:t>
      </w:r>
      <w:r w:rsidRPr="004D2BA7">
        <w:rPr>
          <w:rFonts w:ascii="Times" w:hAnsi="Times"/>
          <w:i/>
          <w:iCs/>
          <w:sz w:val="24"/>
          <w:szCs w:val="24"/>
        </w:rPr>
        <w:t>See</w:t>
      </w:r>
      <w:r w:rsidRPr="004D2BA7">
        <w:rPr>
          <w:rFonts w:ascii="Times" w:hAnsi="Times"/>
          <w:sz w:val="24"/>
          <w:szCs w:val="24"/>
        </w:rPr>
        <w:t xml:space="preserve"> Civ. Code, § 1794(e). However, a buyer who recovers a civil penalty for a willful violation may not also recover a second civil penalty for the same violation. Civ. Code Proc. § 1794(e)(5).</w:t>
      </w:r>
    </w:p>
    <w:p w14:paraId="1A1BB4F7" w14:textId="77777777" w:rsidR="004D2BA7" w:rsidRPr="004D2BA7" w:rsidRDefault="004D2BA7" w:rsidP="004D2BA7">
      <w:pPr>
        <w:spacing w:after="0" w:line="240" w:lineRule="auto"/>
        <w:jc w:val="both"/>
        <w:rPr>
          <w:rFonts w:ascii="Times" w:hAnsi="Times"/>
          <w:sz w:val="24"/>
          <w:szCs w:val="24"/>
        </w:rPr>
      </w:pPr>
    </w:p>
    <w:p w14:paraId="33FA36C8" w14:textId="77777777" w:rsidR="004D2BA7" w:rsidRPr="004D2BA7" w:rsidRDefault="004D2BA7" w:rsidP="00357CA0">
      <w:pPr>
        <w:spacing w:after="0" w:line="240" w:lineRule="auto"/>
        <w:ind w:firstLine="360"/>
        <w:jc w:val="both"/>
        <w:rPr>
          <w:rFonts w:ascii="Times" w:hAnsi="Times"/>
          <w:sz w:val="24"/>
          <w:szCs w:val="24"/>
        </w:rPr>
      </w:pPr>
      <w:r w:rsidRPr="004D2BA7">
        <w:rPr>
          <w:rFonts w:ascii="Times" w:hAnsi="Times"/>
          <w:sz w:val="24"/>
          <w:szCs w:val="24"/>
        </w:rPr>
        <w:t>“[I]f the trier of fact finds the defendant willfully violated its legal obligations to plaintiff, it has discretion under [Civil Code section 1794,] subdivision (c) to award a penalty against the defendant. Subdivision (c) applies to suits concerning any type of ‘consumer goods,’ as that term is defined in section 1791 of the Act.” (</w:t>
      </w:r>
      <w:r w:rsidRPr="004D2BA7">
        <w:rPr>
          <w:rFonts w:ascii="Times" w:hAnsi="Times"/>
          <w:i/>
          <w:iCs/>
          <w:sz w:val="24"/>
          <w:szCs w:val="24"/>
        </w:rPr>
        <w:t>Suman v. Superior Court</w:t>
      </w:r>
      <w:r w:rsidRPr="004D2BA7">
        <w:rPr>
          <w:rFonts w:ascii="Times" w:hAnsi="Times"/>
          <w:sz w:val="24"/>
          <w:szCs w:val="24"/>
        </w:rPr>
        <w:t>, 39 Cal.App.4th 1309, 1315 (1995)) “Whether a manufacturer willfully violated its obligation to repair the car or refund the purchase price is a factual question for the jury that will not be disturbed on appeal if supported by substantial evidence.” (</w:t>
      </w:r>
      <w:r w:rsidRPr="004D2BA7">
        <w:rPr>
          <w:rFonts w:ascii="Times" w:hAnsi="Times"/>
          <w:i/>
          <w:iCs/>
          <w:sz w:val="24"/>
          <w:szCs w:val="24"/>
        </w:rPr>
        <w:t>Oregel v. American Isuzu Motors, Inc</w:t>
      </w:r>
      <w:r w:rsidRPr="004D2BA7">
        <w:rPr>
          <w:rFonts w:ascii="Times" w:hAnsi="Times"/>
          <w:sz w:val="24"/>
          <w:szCs w:val="24"/>
        </w:rPr>
        <w:t xml:space="preserve">. (2001) 90 Cal.App.4th 1094, 1104 [109 Cal.Rptr.2d 583]. </w:t>
      </w:r>
      <w:proofErr w:type="gramStart"/>
      <w:r w:rsidRPr="004D2BA7">
        <w:rPr>
          <w:rFonts w:ascii="Times" w:hAnsi="Times"/>
          <w:sz w:val="24"/>
          <w:szCs w:val="24"/>
        </w:rPr>
        <w:t>“ ‘</w:t>
      </w:r>
      <w:proofErr w:type="gramEnd"/>
      <w:r w:rsidRPr="004D2BA7">
        <w:rPr>
          <w:rFonts w:ascii="Times" w:hAnsi="Times"/>
          <w:sz w:val="24"/>
          <w:szCs w:val="24"/>
        </w:rPr>
        <w:t>In civil cases, the word “willful,” as ordinarily used in courts of law, does not necessarily imply anything blamable, or any malice or wrong toward the other party, or perverseness or moral delinquency, but merely that the thing done or omitted to be done was done or omitted intentionally. It amounts to nothing more than this: That the person knows what he is doing, intends to do what he is doing, and is a free agent.</w:t>
      </w:r>
      <w:proofErr w:type="gramStart"/>
      <w:r w:rsidRPr="004D2BA7">
        <w:rPr>
          <w:rFonts w:ascii="Times" w:hAnsi="Times"/>
          <w:sz w:val="24"/>
          <w:szCs w:val="24"/>
        </w:rPr>
        <w:t>’ ”</w:t>
      </w:r>
      <w:proofErr w:type="gramEnd"/>
      <w:r w:rsidRPr="004D2BA7">
        <w:rPr>
          <w:rFonts w:ascii="Times" w:hAnsi="Times"/>
          <w:sz w:val="24"/>
          <w:szCs w:val="24"/>
        </w:rPr>
        <w:t xml:space="preserve"> (</w:t>
      </w:r>
      <w:r w:rsidRPr="004D2BA7">
        <w:rPr>
          <w:rFonts w:ascii="Times" w:hAnsi="Times"/>
          <w:i/>
          <w:iCs/>
          <w:sz w:val="24"/>
          <w:szCs w:val="24"/>
        </w:rPr>
        <w:t>Ibrahim v. Ford Motor Co.</w:t>
      </w:r>
      <w:r w:rsidRPr="004D2BA7">
        <w:rPr>
          <w:rFonts w:ascii="Times" w:hAnsi="Times"/>
          <w:sz w:val="24"/>
          <w:szCs w:val="24"/>
        </w:rPr>
        <w:t xml:space="preserve"> (1989) 214 Cal.App.3d 878, 894 [263 </w:t>
      </w:r>
      <w:proofErr w:type="spellStart"/>
      <w:r w:rsidRPr="004D2BA7">
        <w:rPr>
          <w:rFonts w:ascii="Times" w:hAnsi="Times"/>
          <w:sz w:val="24"/>
          <w:szCs w:val="24"/>
        </w:rPr>
        <w:t>Cal.Rptr</w:t>
      </w:r>
      <w:proofErr w:type="spellEnd"/>
      <w:r w:rsidRPr="004D2BA7">
        <w:rPr>
          <w:rFonts w:ascii="Times" w:hAnsi="Times"/>
          <w:sz w:val="24"/>
          <w:szCs w:val="24"/>
        </w:rPr>
        <w:t>. 64], internal citations omitted.)</w:t>
      </w:r>
    </w:p>
    <w:p w14:paraId="21146256" w14:textId="77777777" w:rsidR="004D2BA7" w:rsidRPr="004D2BA7" w:rsidRDefault="004D2BA7" w:rsidP="004D2BA7">
      <w:pPr>
        <w:spacing w:after="0" w:line="240" w:lineRule="auto"/>
        <w:jc w:val="both"/>
        <w:rPr>
          <w:rFonts w:ascii="Times" w:hAnsi="Times"/>
          <w:sz w:val="24"/>
          <w:szCs w:val="24"/>
        </w:rPr>
      </w:pPr>
    </w:p>
    <w:p w14:paraId="260D4241" w14:textId="77777777" w:rsidR="004D2BA7" w:rsidRPr="004D2BA7" w:rsidRDefault="004D2BA7" w:rsidP="00357CA0">
      <w:pPr>
        <w:spacing w:after="0" w:line="240" w:lineRule="auto"/>
        <w:ind w:firstLine="360"/>
        <w:jc w:val="both"/>
        <w:rPr>
          <w:rFonts w:ascii="Times" w:hAnsi="Times"/>
          <w:sz w:val="24"/>
          <w:szCs w:val="24"/>
        </w:rPr>
      </w:pPr>
      <w:r w:rsidRPr="004D2BA7">
        <w:rPr>
          <w:rFonts w:ascii="Times" w:hAnsi="Times"/>
          <w:sz w:val="24"/>
          <w:szCs w:val="24"/>
        </w:rPr>
        <w:t>In response to Plaintiffs’ requests, Defendant provides vague, unresponsive, and incomplete response that are not in compliance with Cod. Civ. Proc. § 2033.220. Thus, Defendant must provide amended verified responses that are Code-compliant.</w:t>
      </w:r>
    </w:p>
    <w:p w14:paraId="65B37640" w14:textId="77777777" w:rsidR="004D2BA7" w:rsidRPr="004D2BA7" w:rsidRDefault="004D2BA7" w:rsidP="004D2BA7">
      <w:pPr>
        <w:spacing w:after="0" w:line="240" w:lineRule="auto"/>
        <w:jc w:val="both"/>
        <w:rPr>
          <w:rFonts w:ascii="Times" w:hAnsi="Times"/>
          <w:sz w:val="24"/>
          <w:szCs w:val="24"/>
        </w:rPr>
      </w:pPr>
    </w:p>
    <w:p w14:paraId="30CC6FC2" w14:textId="77777777" w:rsidR="004D2BA7" w:rsidRPr="004D2BA7" w:rsidRDefault="004D2BA7" w:rsidP="00357CA0">
      <w:pPr>
        <w:spacing w:after="0" w:line="240" w:lineRule="auto"/>
        <w:ind w:firstLine="360"/>
        <w:jc w:val="both"/>
        <w:rPr>
          <w:rFonts w:ascii="Times" w:hAnsi="Times"/>
          <w:sz w:val="24"/>
          <w:szCs w:val="24"/>
        </w:rPr>
      </w:pPr>
      <w:r w:rsidRPr="004D2BA7">
        <w:rPr>
          <w:rFonts w:ascii="Times" w:hAnsi="Times"/>
          <w:sz w:val="24"/>
          <w:szCs w:val="24"/>
        </w:rPr>
        <w:t>Moreover, Defendant’s objections are without merit. If an objection is made to a request or to a part of a request, the specific ground for the objection shall be set forth clearly in the response. If an objection is based on a claim of privilege, the particular privilege invoked shall be clearly stated. If an objection is based on a claim that the matter as to which an admission is requested is protected work product under Chapter 4 (commencing with Section 2018.010), that claim shall be expressly stated.</w:t>
      </w:r>
      <w:proofErr w:type="gramStart"/>
      <w:r w:rsidRPr="004D2BA7">
        <w:rPr>
          <w:rFonts w:ascii="Times" w:hAnsi="Times"/>
          <w:sz w:val="24"/>
          <w:szCs w:val="24"/>
        </w:rPr>
        <w:t>" ]</w:t>
      </w:r>
      <w:proofErr w:type="gramEnd"/>
      <w:r w:rsidRPr="004D2BA7">
        <w:rPr>
          <w:rFonts w:ascii="Times" w:hAnsi="Times"/>
          <w:sz w:val="24"/>
          <w:szCs w:val="24"/>
        </w:rPr>
        <w:t xml:space="preserve"> Code Civ. Proc. § 2033.230(b). In </w:t>
      </w:r>
      <w:proofErr w:type="spellStart"/>
      <w:r w:rsidRPr="004D2BA7">
        <w:rPr>
          <w:rFonts w:ascii="Times" w:hAnsi="Times"/>
          <w:i/>
          <w:iCs/>
          <w:sz w:val="24"/>
          <w:szCs w:val="24"/>
        </w:rPr>
        <w:t>Cembrook</w:t>
      </w:r>
      <w:proofErr w:type="spellEnd"/>
      <w:r w:rsidRPr="004D2BA7">
        <w:rPr>
          <w:rFonts w:ascii="Times" w:hAnsi="Times"/>
          <w:i/>
          <w:iCs/>
          <w:sz w:val="24"/>
          <w:szCs w:val="24"/>
        </w:rPr>
        <w:t xml:space="preserve"> v. Superior Court</w:t>
      </w:r>
      <w:r w:rsidRPr="004D2BA7">
        <w:rPr>
          <w:rFonts w:ascii="Times" w:hAnsi="Times"/>
          <w:sz w:val="24"/>
          <w:szCs w:val="24"/>
        </w:rPr>
        <w:t>, 56 Cal.2d at 429, for example, the Court held that responding party's failure to respond based upon a statement of inability to "clearly" answer the requests was not a proper ground for objection.</w:t>
      </w:r>
    </w:p>
    <w:p w14:paraId="2DE83EA5" w14:textId="77777777" w:rsidR="004D2BA7" w:rsidRPr="004D2BA7" w:rsidRDefault="004D2BA7" w:rsidP="004D2BA7">
      <w:pPr>
        <w:spacing w:after="0" w:line="240" w:lineRule="auto"/>
        <w:jc w:val="both"/>
        <w:rPr>
          <w:rFonts w:ascii="Times" w:hAnsi="Times"/>
          <w:sz w:val="24"/>
          <w:szCs w:val="24"/>
        </w:rPr>
      </w:pPr>
    </w:p>
    <w:p w14:paraId="41B7F943" w14:textId="77777777" w:rsidR="004D2BA7" w:rsidRPr="004D2BA7" w:rsidRDefault="004D2BA7" w:rsidP="00357CA0">
      <w:pPr>
        <w:spacing w:after="0" w:line="240" w:lineRule="auto"/>
        <w:ind w:firstLine="360"/>
        <w:jc w:val="both"/>
        <w:rPr>
          <w:rFonts w:ascii="Times" w:hAnsi="Times"/>
          <w:sz w:val="24"/>
          <w:szCs w:val="24"/>
        </w:rPr>
      </w:pPr>
      <w:r w:rsidRPr="004D2BA7">
        <w:rPr>
          <w:rFonts w:ascii="Times" w:hAnsi="Times"/>
          <w:sz w:val="24"/>
          <w:szCs w:val="24"/>
        </w:rPr>
        <w:t xml:space="preserve">Here, Defendant interposed general boilerplate objections to all requests, without any effort to set forth specific objections or to identify those parts of the requests to which specific objections are asserted. Additionally, Defendant has failed to identify the privileges asserted. Additionally, Defendant's objections based upon are without merit as Plaintiffs’ straight-forward requests can </w:t>
      </w:r>
      <w:r w:rsidRPr="004D2BA7">
        <w:rPr>
          <w:rFonts w:ascii="Times" w:hAnsi="Times"/>
          <w:sz w:val="24"/>
          <w:szCs w:val="24"/>
        </w:rPr>
        <w:lastRenderedPageBreak/>
        <w:t xml:space="preserve">be simply admitted or denied. Instead, Defendant improperly asserts baseless objections such as “vague,” “ambiguous,” “overly broad,” “unduly burdensome,” “oppressive,” and so forth. </w:t>
      </w:r>
    </w:p>
    <w:p w14:paraId="49E25775" w14:textId="77777777" w:rsidR="004D2BA7" w:rsidRPr="004D2BA7" w:rsidRDefault="004D2BA7" w:rsidP="004D2BA7">
      <w:pPr>
        <w:spacing w:after="0" w:line="240" w:lineRule="auto"/>
        <w:jc w:val="both"/>
        <w:rPr>
          <w:rFonts w:ascii="Times" w:hAnsi="Times"/>
          <w:sz w:val="24"/>
          <w:szCs w:val="24"/>
        </w:rPr>
      </w:pPr>
    </w:p>
    <w:p w14:paraId="0B41EE5C" w14:textId="77777777" w:rsidR="004D2BA7" w:rsidRPr="004D2BA7" w:rsidRDefault="004D2BA7" w:rsidP="00357CA0">
      <w:pPr>
        <w:spacing w:after="0" w:line="240" w:lineRule="auto"/>
        <w:ind w:firstLine="360"/>
        <w:jc w:val="both"/>
        <w:rPr>
          <w:rFonts w:ascii="Times" w:hAnsi="Times"/>
          <w:sz w:val="24"/>
          <w:szCs w:val="24"/>
        </w:rPr>
      </w:pPr>
      <w:r w:rsidRPr="004D2BA7">
        <w:rPr>
          <w:rFonts w:ascii="Times" w:hAnsi="Times"/>
          <w:sz w:val="24"/>
          <w:szCs w:val="24"/>
        </w:rPr>
        <w:t xml:space="preserve">Plaintiffs are perplexed at how a request asking whether Defendant tracks the annual percentage of the same year, make, and model as the Subject Vehicle that Defendant repurchased under the Song-Beverly Act (RFA No. 12), is not straightforward. This request seeks information to establish Defendant’s knowledge of the defect present in the Subject Vehicle in other vehicles of the same year, make, and model. Additionally, this quest establishes Defendant’s inability to repair said prevalent defects to conform the vehicle to the terms of its written warranty within a reasonable number of repair attempts; thus, establishing Defendant’s willful violation of the SBA. </w:t>
      </w:r>
    </w:p>
    <w:p w14:paraId="7B620481" w14:textId="77777777" w:rsidR="004D2BA7" w:rsidRPr="004D2BA7" w:rsidRDefault="004D2BA7" w:rsidP="004D2BA7">
      <w:pPr>
        <w:spacing w:after="0" w:line="240" w:lineRule="auto"/>
        <w:jc w:val="both"/>
        <w:rPr>
          <w:rFonts w:ascii="Times" w:hAnsi="Times"/>
          <w:sz w:val="24"/>
          <w:szCs w:val="24"/>
        </w:rPr>
      </w:pPr>
    </w:p>
    <w:p w14:paraId="7A53B4D5" w14:textId="5E884FCC" w:rsidR="004D2BA7" w:rsidRDefault="004D2BA7" w:rsidP="00357CA0">
      <w:pPr>
        <w:spacing w:after="0" w:line="240" w:lineRule="auto"/>
        <w:ind w:firstLine="360"/>
        <w:jc w:val="both"/>
        <w:rPr>
          <w:rFonts w:ascii="Times" w:hAnsi="Times"/>
          <w:sz w:val="24"/>
          <w:szCs w:val="24"/>
        </w:rPr>
      </w:pPr>
      <w:r w:rsidRPr="004D2BA7">
        <w:rPr>
          <w:rFonts w:ascii="Times" w:hAnsi="Times"/>
          <w:sz w:val="24"/>
          <w:szCs w:val="24"/>
        </w:rPr>
        <w:t xml:space="preserve">Accordingly, Defendant must provide further verified code-compliant responses without boilerplate objections. </w:t>
      </w:r>
    </w:p>
    <w:p w14:paraId="2E6A27F1" w14:textId="398B126E" w:rsidR="00644FBA" w:rsidRDefault="00644FBA" w:rsidP="004D2BA7">
      <w:pPr>
        <w:spacing w:after="0" w:line="240" w:lineRule="auto"/>
        <w:jc w:val="both"/>
        <w:rPr>
          <w:rFonts w:ascii="Times" w:hAnsi="Times"/>
          <w:sz w:val="24"/>
          <w:szCs w:val="24"/>
        </w:rPr>
      </w:pPr>
    </w:p>
    <w:p w14:paraId="7CCC8C88" w14:textId="5C64F757" w:rsidR="00644FBA" w:rsidRPr="00644FBA" w:rsidRDefault="00644FBA" w:rsidP="00357CA0">
      <w:pPr>
        <w:spacing w:after="0" w:line="240" w:lineRule="auto"/>
        <w:jc w:val="center"/>
        <w:rPr>
          <w:rFonts w:ascii="Times" w:hAnsi="Times"/>
          <w:b/>
          <w:bCs/>
          <w:sz w:val="24"/>
          <w:szCs w:val="24"/>
          <w:u w:val="single"/>
        </w:rPr>
      </w:pPr>
      <w:r w:rsidRPr="00644FBA">
        <w:rPr>
          <w:rFonts w:ascii="Times" w:hAnsi="Times"/>
          <w:b/>
          <w:bCs/>
          <w:sz w:val="24"/>
          <w:szCs w:val="24"/>
          <w:u w:val="single"/>
        </w:rPr>
        <w:t>REQUESTS FOR PRODUCTION OF DOCUMENTS</w:t>
      </w:r>
    </w:p>
    <w:p w14:paraId="4E382661" w14:textId="77777777" w:rsidR="00644FBA" w:rsidRPr="00644FBA" w:rsidRDefault="00644FBA" w:rsidP="00644FBA">
      <w:pPr>
        <w:spacing w:after="0" w:line="240" w:lineRule="auto"/>
        <w:jc w:val="both"/>
        <w:rPr>
          <w:rFonts w:ascii="Times" w:hAnsi="Times"/>
          <w:sz w:val="24"/>
          <w:szCs w:val="24"/>
        </w:rPr>
      </w:pPr>
    </w:p>
    <w:p w14:paraId="5B254382" w14:textId="77777777" w:rsidR="00644FBA" w:rsidRPr="00644FBA" w:rsidRDefault="00644FBA" w:rsidP="00644FBA">
      <w:pPr>
        <w:numPr>
          <w:ilvl w:val="0"/>
          <w:numId w:val="4"/>
        </w:numPr>
        <w:spacing w:after="0" w:line="240" w:lineRule="auto"/>
        <w:jc w:val="both"/>
        <w:rPr>
          <w:rFonts w:ascii="Times" w:hAnsi="Times"/>
          <w:b/>
          <w:bCs/>
          <w:sz w:val="24"/>
          <w:szCs w:val="24"/>
        </w:rPr>
      </w:pPr>
      <w:r w:rsidRPr="00644FBA">
        <w:rPr>
          <w:rFonts w:ascii="Times" w:hAnsi="Times"/>
          <w:b/>
          <w:bCs/>
          <w:sz w:val="24"/>
          <w:szCs w:val="24"/>
        </w:rPr>
        <w:t xml:space="preserve">Defendant’s Responses Do Not Comply with the Code of Civil Procedure </w:t>
      </w:r>
    </w:p>
    <w:p w14:paraId="3F9BBE20" w14:textId="77777777" w:rsidR="00644FBA" w:rsidRPr="00644FBA" w:rsidRDefault="00644FBA" w:rsidP="00644FBA">
      <w:pPr>
        <w:spacing w:after="0" w:line="240" w:lineRule="auto"/>
        <w:jc w:val="both"/>
        <w:rPr>
          <w:rFonts w:ascii="Times" w:hAnsi="Times"/>
          <w:sz w:val="24"/>
          <w:szCs w:val="24"/>
        </w:rPr>
      </w:pPr>
    </w:p>
    <w:p w14:paraId="54D99AAE" w14:textId="77777777" w:rsidR="00644FBA" w:rsidRPr="00644FBA" w:rsidRDefault="00644FBA" w:rsidP="00357CA0">
      <w:pPr>
        <w:spacing w:after="0" w:line="240" w:lineRule="auto"/>
        <w:ind w:firstLine="360"/>
        <w:jc w:val="both"/>
        <w:rPr>
          <w:rFonts w:ascii="Times" w:hAnsi="Times"/>
          <w:sz w:val="24"/>
          <w:szCs w:val="24"/>
        </w:rPr>
      </w:pPr>
      <w:r w:rsidRPr="00644FBA">
        <w:rPr>
          <w:rFonts w:ascii="Times" w:hAnsi="Times"/>
          <w:sz w:val="24"/>
          <w:szCs w:val="24"/>
        </w:rPr>
        <w:t xml:space="preserve">Further responses to Plaintiffs’ Requests for Production of Documents, Set One are warranted for Defendant’s blatant failure to comply with its obligations under the Code. </w:t>
      </w:r>
    </w:p>
    <w:p w14:paraId="3B0FE2DF" w14:textId="77777777" w:rsidR="00644FBA" w:rsidRPr="00644FBA" w:rsidRDefault="00644FBA" w:rsidP="00644FBA">
      <w:pPr>
        <w:spacing w:after="0" w:line="240" w:lineRule="auto"/>
        <w:jc w:val="both"/>
        <w:rPr>
          <w:rFonts w:ascii="Times" w:hAnsi="Times"/>
          <w:sz w:val="24"/>
          <w:szCs w:val="24"/>
        </w:rPr>
      </w:pPr>
    </w:p>
    <w:p w14:paraId="6B7F60CC" w14:textId="77777777" w:rsidR="00644FBA" w:rsidRPr="00644FBA" w:rsidRDefault="00644FBA" w:rsidP="00357CA0">
      <w:pPr>
        <w:spacing w:after="0" w:line="240" w:lineRule="auto"/>
        <w:ind w:firstLine="360"/>
        <w:jc w:val="both"/>
        <w:rPr>
          <w:rFonts w:ascii="Times" w:hAnsi="Times"/>
          <w:sz w:val="24"/>
          <w:szCs w:val="24"/>
        </w:rPr>
      </w:pPr>
      <w:r w:rsidRPr="00644FBA">
        <w:rPr>
          <w:rFonts w:ascii="Times" w:hAnsi="Times"/>
          <w:sz w:val="24"/>
          <w:szCs w:val="24"/>
        </w:rPr>
        <w:t>“The party to whom a demand for inspection, copying, testing, or sampling has been directed shall respond separately to each item or category of item by any of the following:</w:t>
      </w:r>
    </w:p>
    <w:p w14:paraId="10B15F82" w14:textId="77777777" w:rsidR="00644FBA" w:rsidRPr="00644FBA" w:rsidRDefault="00644FBA" w:rsidP="00644FBA">
      <w:pPr>
        <w:spacing w:after="0" w:line="240" w:lineRule="auto"/>
        <w:jc w:val="both"/>
        <w:rPr>
          <w:rFonts w:ascii="Times" w:hAnsi="Times"/>
          <w:sz w:val="24"/>
          <w:szCs w:val="24"/>
        </w:rPr>
      </w:pPr>
    </w:p>
    <w:p w14:paraId="7FA9B931" w14:textId="77777777" w:rsidR="00644FBA" w:rsidRPr="00644FBA" w:rsidRDefault="00644FBA" w:rsidP="00357CA0">
      <w:pPr>
        <w:spacing w:after="0" w:line="240" w:lineRule="auto"/>
        <w:ind w:firstLine="360"/>
        <w:jc w:val="both"/>
        <w:rPr>
          <w:rFonts w:ascii="Times" w:hAnsi="Times"/>
          <w:sz w:val="24"/>
          <w:szCs w:val="24"/>
        </w:rPr>
      </w:pPr>
      <w:r w:rsidRPr="00644FBA">
        <w:rPr>
          <w:rFonts w:ascii="Times" w:hAnsi="Times"/>
          <w:sz w:val="24"/>
          <w:szCs w:val="24"/>
        </w:rPr>
        <w:t>(1) A statement that the party will comply with the particular demand for inspection, copying, testing, or sampling by the date set for the inspection, copying, testing, or sampling pursuant to paragraph (2) of subdivision (c) of Section 2031.030 and any related activities.</w:t>
      </w:r>
    </w:p>
    <w:p w14:paraId="2D328B22" w14:textId="77777777" w:rsidR="00644FBA" w:rsidRPr="00644FBA" w:rsidRDefault="00644FBA" w:rsidP="00644FBA">
      <w:pPr>
        <w:spacing w:after="0" w:line="240" w:lineRule="auto"/>
        <w:jc w:val="both"/>
        <w:rPr>
          <w:rFonts w:ascii="Times" w:hAnsi="Times"/>
          <w:sz w:val="24"/>
          <w:szCs w:val="24"/>
        </w:rPr>
      </w:pPr>
      <w:r w:rsidRPr="00644FBA">
        <w:rPr>
          <w:rFonts w:ascii="Times" w:hAnsi="Times"/>
          <w:sz w:val="24"/>
          <w:szCs w:val="24"/>
        </w:rPr>
        <w:t>(2) A representation that the party lacks the ability to comply with the demand for inspection, copying, testing, or sampling of a particular item or category of item.</w:t>
      </w:r>
    </w:p>
    <w:p w14:paraId="0710546C" w14:textId="77777777" w:rsidR="00644FBA" w:rsidRPr="00644FBA" w:rsidRDefault="00644FBA" w:rsidP="00644FBA">
      <w:pPr>
        <w:spacing w:after="0" w:line="240" w:lineRule="auto"/>
        <w:jc w:val="both"/>
        <w:rPr>
          <w:rFonts w:ascii="Times" w:hAnsi="Times"/>
          <w:sz w:val="24"/>
          <w:szCs w:val="24"/>
        </w:rPr>
      </w:pPr>
      <w:r w:rsidRPr="00644FBA">
        <w:rPr>
          <w:rFonts w:ascii="Times" w:hAnsi="Times"/>
          <w:sz w:val="24"/>
          <w:szCs w:val="24"/>
        </w:rPr>
        <w:t>(3) An objection to the particular demand for inspection, copying, testing, or sampling.”</w:t>
      </w:r>
    </w:p>
    <w:p w14:paraId="18836823" w14:textId="77777777" w:rsidR="00644FBA" w:rsidRPr="00644FBA" w:rsidRDefault="00644FBA" w:rsidP="00644FBA">
      <w:pPr>
        <w:spacing w:after="0" w:line="240" w:lineRule="auto"/>
        <w:jc w:val="both"/>
        <w:rPr>
          <w:rFonts w:ascii="Times" w:hAnsi="Times"/>
          <w:sz w:val="24"/>
          <w:szCs w:val="24"/>
        </w:rPr>
      </w:pPr>
    </w:p>
    <w:p w14:paraId="043EC356" w14:textId="77777777" w:rsidR="00644FBA" w:rsidRPr="00644FBA" w:rsidRDefault="00644FBA" w:rsidP="00644FBA">
      <w:pPr>
        <w:spacing w:after="0" w:line="240" w:lineRule="auto"/>
        <w:jc w:val="both"/>
        <w:rPr>
          <w:rFonts w:ascii="Times" w:hAnsi="Times"/>
          <w:sz w:val="24"/>
          <w:szCs w:val="24"/>
        </w:rPr>
      </w:pPr>
      <w:r w:rsidRPr="00644FBA">
        <w:rPr>
          <w:rFonts w:ascii="Times" w:hAnsi="Times"/>
          <w:sz w:val="24"/>
          <w:szCs w:val="24"/>
        </w:rPr>
        <w:t>Code Civ. Proc. § 2031.210(a)</w:t>
      </w:r>
    </w:p>
    <w:p w14:paraId="76D86BB1" w14:textId="77777777" w:rsidR="00644FBA" w:rsidRPr="00644FBA" w:rsidRDefault="00644FBA" w:rsidP="00644FBA">
      <w:pPr>
        <w:spacing w:after="0" w:line="240" w:lineRule="auto"/>
        <w:jc w:val="both"/>
        <w:rPr>
          <w:rFonts w:ascii="Times" w:hAnsi="Times"/>
          <w:sz w:val="24"/>
          <w:szCs w:val="24"/>
        </w:rPr>
      </w:pPr>
    </w:p>
    <w:p w14:paraId="67A86101" w14:textId="77777777" w:rsidR="00644FBA" w:rsidRPr="00644FBA" w:rsidRDefault="00644FBA" w:rsidP="00357CA0">
      <w:pPr>
        <w:spacing w:after="0" w:line="240" w:lineRule="auto"/>
        <w:ind w:firstLine="720"/>
        <w:jc w:val="both"/>
        <w:rPr>
          <w:rFonts w:ascii="Times" w:hAnsi="Times"/>
          <w:sz w:val="24"/>
          <w:szCs w:val="24"/>
        </w:rPr>
      </w:pPr>
      <w:r w:rsidRPr="00644FBA">
        <w:rPr>
          <w:rFonts w:ascii="Times" w:hAnsi="Times"/>
          <w:sz w:val="24"/>
          <w:szCs w:val="24"/>
        </w:rPr>
        <w:t xml:space="preserve">“A statement that the party to whom a demand for inspection, copying, testing, or sampling has been directed will comply with the particular demand shall state that the production, inspection, copying, testing, or sampling, and related activity demanded, will be allowed either in whole or in part, and that all documents or things in the demanded category that are in the possession, custody, or control of that party and to which no objection is being made will be included in the production.” Code Civ. Proc. § 2031.220. A representation of inability to comply with the particular demand for inspection, copying, testing, or sampling shall affirm that a diligent search and a reasonable inquiry has been made in an effort to comply with that demand. This statement shall also specify whether the inability to comply is because the particular item or category has never existed, has been destroyed, has been lost, misplaced, or stolen, or has never been, or is no longer, in the possession, custody, or control of the responding party. The statement shall set forth the name and address of any natural person or organization known or believed by that party to have possession, custody, or control of that item or category of item. Code Civ. Proc. </w:t>
      </w:r>
      <w:r w:rsidRPr="00644FBA">
        <w:rPr>
          <w:rFonts w:ascii="Times" w:hAnsi="Times"/>
          <w:sz w:val="24"/>
          <w:szCs w:val="24"/>
        </w:rPr>
        <w:lastRenderedPageBreak/>
        <w:t xml:space="preserve">§ 2031.230; </w:t>
      </w:r>
      <w:r w:rsidRPr="00644FBA">
        <w:rPr>
          <w:rFonts w:ascii="Times" w:hAnsi="Times"/>
          <w:i/>
          <w:iCs/>
          <w:sz w:val="24"/>
          <w:szCs w:val="24"/>
        </w:rPr>
        <w:t xml:space="preserve">See </w:t>
      </w:r>
      <w:proofErr w:type="spellStart"/>
      <w:r w:rsidRPr="00644FBA">
        <w:rPr>
          <w:rFonts w:ascii="Times" w:hAnsi="Times"/>
          <w:i/>
          <w:iCs/>
          <w:sz w:val="24"/>
          <w:szCs w:val="24"/>
        </w:rPr>
        <w:t>Doppes</w:t>
      </w:r>
      <w:proofErr w:type="spellEnd"/>
      <w:r w:rsidRPr="00644FBA">
        <w:rPr>
          <w:rFonts w:ascii="Times" w:hAnsi="Times"/>
          <w:i/>
          <w:iCs/>
          <w:sz w:val="24"/>
          <w:szCs w:val="24"/>
        </w:rPr>
        <w:t xml:space="preserve"> v. Bentley Motors, Inc.</w:t>
      </w:r>
      <w:r w:rsidRPr="00644FBA">
        <w:rPr>
          <w:rFonts w:ascii="Times" w:hAnsi="Times"/>
          <w:sz w:val="24"/>
          <w:szCs w:val="24"/>
        </w:rPr>
        <w:t xml:space="preserve">, 174 Cal.App.4th 967, 94 Cal.Rptr.3d 802, (2009) (Severe issue sanctions, evidence sanctions, or both, would have been warranted against automobile distributor at the time of a discovery referee's report and recommendation in consumer's breach of warranty action, for distributor's failure to produce relevant and properly demanded but potentially damaging documents and e-mails, where distributor had been ordered to produce the documents twice by the court and had been directed to produce the documents once by a discovery referee, distributor failed to produce declarations detailing efforts to locate documents not produced, the delay in production required postponement of trial, the consumer suffered delay and unnecessary expense, and monetary sanctions had already been imposed.) </w:t>
      </w:r>
    </w:p>
    <w:p w14:paraId="419E5F5F" w14:textId="77777777" w:rsidR="00644FBA" w:rsidRPr="00644FBA" w:rsidRDefault="00644FBA" w:rsidP="00644FBA">
      <w:pPr>
        <w:spacing w:after="0" w:line="240" w:lineRule="auto"/>
        <w:jc w:val="both"/>
        <w:rPr>
          <w:rFonts w:ascii="Times" w:hAnsi="Times"/>
          <w:sz w:val="24"/>
          <w:szCs w:val="24"/>
        </w:rPr>
      </w:pPr>
    </w:p>
    <w:p w14:paraId="73BD8A96" w14:textId="02FCFF03" w:rsidR="00644FBA" w:rsidRDefault="00644FBA" w:rsidP="00357CA0">
      <w:pPr>
        <w:spacing w:after="0" w:line="240" w:lineRule="auto"/>
        <w:ind w:firstLine="720"/>
        <w:jc w:val="both"/>
        <w:rPr>
          <w:rFonts w:ascii="Times" w:hAnsi="Times"/>
          <w:sz w:val="24"/>
          <w:szCs w:val="24"/>
        </w:rPr>
      </w:pPr>
      <w:r w:rsidRPr="00644FBA">
        <w:rPr>
          <w:rFonts w:ascii="Times" w:hAnsi="Times"/>
          <w:sz w:val="24"/>
          <w:szCs w:val="24"/>
        </w:rPr>
        <w:t xml:space="preserve">Here, Defendant’s responses to a vast majority of Plaintiffs’ 43 Request are unresponsive and/or do not comply with the Code as set forth above. For example, in response to Plaintiffs’ Request Nos. 31, 32, 33, and 36 consist of boilerplate objections without any substantive response. Thus, Defendant must provide further substantive response that is code-compliant and verified, without the use of baseless boilerplate objections. </w:t>
      </w:r>
    </w:p>
    <w:p w14:paraId="3ECFD8B4" w14:textId="46B9373A" w:rsidR="003A1139" w:rsidRDefault="003A1139" w:rsidP="00644FBA">
      <w:pPr>
        <w:spacing w:after="0" w:line="240" w:lineRule="auto"/>
        <w:jc w:val="both"/>
        <w:rPr>
          <w:rFonts w:ascii="Times" w:hAnsi="Times"/>
          <w:sz w:val="24"/>
          <w:szCs w:val="24"/>
        </w:rPr>
      </w:pPr>
    </w:p>
    <w:p w14:paraId="4A8881A3" w14:textId="1657D709" w:rsidR="003A1139" w:rsidRPr="00644FBA" w:rsidRDefault="003A1139" w:rsidP="00AE05AD">
      <w:pPr>
        <w:spacing w:after="0" w:line="240" w:lineRule="auto"/>
        <w:ind w:firstLine="720"/>
        <w:jc w:val="both"/>
        <w:rPr>
          <w:rFonts w:ascii="Times" w:hAnsi="Times"/>
          <w:sz w:val="24"/>
          <w:szCs w:val="24"/>
        </w:rPr>
      </w:pPr>
      <w:r>
        <w:rPr>
          <w:rFonts w:ascii="Times" w:hAnsi="Times"/>
          <w:sz w:val="24"/>
          <w:szCs w:val="24"/>
        </w:rPr>
        <w:t>Moreover, Defendant states in Response No. 3 that it will provide a laundry list of documents: “</w:t>
      </w:r>
      <w:r w:rsidRPr="003A1139">
        <w:rPr>
          <w:rFonts w:ascii="Times" w:hAnsi="Times"/>
          <w:sz w:val="24"/>
          <w:szCs w:val="24"/>
        </w:rPr>
        <w:t>if found, a copy of the sales or lease contract, if found, a copy of any vehicle repair records obtained from any independent authorized repair facility concerning the Subject Vehicle, if found, Nissan's Customer Assistance File, if found, Consumer Affairs Applicable Warranties printout, Consumer Affairs Repair History Review, if found, and Consumer Affairs Vehicle Claims History, that contain documents referencing Plaintiff and the Subject Vehicle; the Warranty Information Booklet for the Subject Vehicle, the Supplement to the Warranty Information Booklet for the Subject Vehicle, and the Owner’s Manual for the Subject Vehicle which were provided to Plaintiff at the time Plaintiff purchased the Subject Vehicle; the Department of Consumer Affairs publication entitled "Lemon-Aid for Consumers;" applicable technical service bulletins and recalls that relate to the Subject Vehicle, and, pursuant to a protective order, documents titled Assurance Products Resource Manual, "CA SOP 2.9: Case Ownership" and "CA SOP 3.19: Repair History Review (RHR) Request."</w:t>
      </w:r>
      <w:r>
        <w:rPr>
          <w:rFonts w:ascii="Times" w:hAnsi="Times"/>
          <w:sz w:val="24"/>
          <w:szCs w:val="24"/>
        </w:rPr>
        <w:t xml:space="preserve"> However, Defendant merely provides </w:t>
      </w:r>
      <w:r w:rsidR="00AE05AD">
        <w:rPr>
          <w:rFonts w:ascii="Times" w:hAnsi="Times"/>
          <w:sz w:val="24"/>
          <w:szCs w:val="24"/>
        </w:rPr>
        <w:t xml:space="preserve">four (4) pages of documents. Plaintiff is left to wonder where </w:t>
      </w:r>
      <w:r w:rsidR="0016649A">
        <w:rPr>
          <w:rFonts w:ascii="Times" w:hAnsi="Times"/>
          <w:sz w:val="24"/>
          <w:szCs w:val="24"/>
        </w:rPr>
        <w:t xml:space="preserve">the outstanding documents are. </w:t>
      </w:r>
    </w:p>
    <w:p w14:paraId="497A9CD8" w14:textId="77777777" w:rsidR="00644FBA" w:rsidRPr="00644FBA" w:rsidRDefault="00644FBA" w:rsidP="00644FBA">
      <w:pPr>
        <w:spacing w:after="0" w:line="240" w:lineRule="auto"/>
        <w:jc w:val="both"/>
        <w:rPr>
          <w:rFonts w:ascii="Times" w:hAnsi="Times"/>
          <w:b/>
          <w:bCs/>
          <w:sz w:val="24"/>
          <w:szCs w:val="24"/>
        </w:rPr>
      </w:pPr>
    </w:p>
    <w:p w14:paraId="7FDFEA26" w14:textId="77777777" w:rsidR="00644FBA" w:rsidRPr="00644FBA" w:rsidRDefault="00644FBA" w:rsidP="00644FBA">
      <w:pPr>
        <w:numPr>
          <w:ilvl w:val="0"/>
          <w:numId w:val="4"/>
        </w:numPr>
        <w:spacing w:after="0" w:line="240" w:lineRule="auto"/>
        <w:jc w:val="both"/>
        <w:rPr>
          <w:rFonts w:ascii="Times" w:hAnsi="Times"/>
          <w:b/>
          <w:bCs/>
          <w:sz w:val="24"/>
          <w:szCs w:val="24"/>
        </w:rPr>
      </w:pPr>
      <w:r w:rsidRPr="00644FBA">
        <w:rPr>
          <w:rFonts w:ascii="Times" w:hAnsi="Times"/>
          <w:b/>
          <w:bCs/>
          <w:sz w:val="24"/>
          <w:szCs w:val="24"/>
        </w:rPr>
        <w:t xml:space="preserve">Plaintiffs Seek Relevant Documents </w:t>
      </w:r>
    </w:p>
    <w:p w14:paraId="4C26B249" w14:textId="77777777" w:rsidR="00644FBA" w:rsidRPr="00644FBA" w:rsidRDefault="00644FBA" w:rsidP="00644FBA">
      <w:pPr>
        <w:spacing w:after="0" w:line="240" w:lineRule="auto"/>
        <w:jc w:val="both"/>
        <w:rPr>
          <w:rFonts w:ascii="Times" w:hAnsi="Times"/>
          <w:b/>
          <w:bCs/>
          <w:sz w:val="24"/>
          <w:szCs w:val="24"/>
        </w:rPr>
      </w:pPr>
    </w:p>
    <w:p w14:paraId="03926560" w14:textId="77777777" w:rsidR="00644FBA" w:rsidRPr="00644FBA" w:rsidRDefault="00644FBA" w:rsidP="00AE05AD">
      <w:pPr>
        <w:spacing w:after="0" w:line="240" w:lineRule="auto"/>
        <w:ind w:firstLine="360"/>
        <w:jc w:val="both"/>
        <w:rPr>
          <w:rFonts w:ascii="Times" w:hAnsi="Times"/>
          <w:sz w:val="24"/>
          <w:szCs w:val="24"/>
        </w:rPr>
      </w:pPr>
      <w:r w:rsidRPr="00644FBA">
        <w:rPr>
          <w:rFonts w:ascii="Times" w:hAnsi="Times"/>
          <w:sz w:val="24"/>
          <w:szCs w:val="24"/>
        </w:rPr>
        <w:t>Defendant contends that the documents sought in Plaintiffs’ discovery requests are not relevant to the instant action. To the contrary, Plaintiffs seek documents that are likely to lead to the discovery of admissible evidence in supporting its lemon law claims.</w:t>
      </w:r>
    </w:p>
    <w:p w14:paraId="2247D8F6" w14:textId="77777777" w:rsidR="00644FBA" w:rsidRPr="00644FBA" w:rsidRDefault="00644FBA" w:rsidP="00644FBA">
      <w:pPr>
        <w:spacing w:after="0" w:line="240" w:lineRule="auto"/>
        <w:jc w:val="both"/>
        <w:rPr>
          <w:rFonts w:ascii="Times" w:hAnsi="Times"/>
          <w:sz w:val="24"/>
          <w:szCs w:val="24"/>
        </w:rPr>
      </w:pPr>
    </w:p>
    <w:p w14:paraId="395B1AFA" w14:textId="77777777" w:rsidR="00644FBA" w:rsidRPr="00644FBA" w:rsidRDefault="00644FBA" w:rsidP="00AE05AD">
      <w:pPr>
        <w:spacing w:after="0" w:line="240" w:lineRule="auto"/>
        <w:ind w:firstLine="360"/>
        <w:jc w:val="both"/>
        <w:rPr>
          <w:rFonts w:ascii="Times" w:hAnsi="Times"/>
          <w:sz w:val="24"/>
          <w:szCs w:val="24"/>
        </w:rPr>
      </w:pPr>
      <w:r w:rsidRPr="00644FBA">
        <w:rPr>
          <w:rFonts w:ascii="Times" w:hAnsi="Times"/>
          <w:sz w:val="24"/>
          <w:szCs w:val="24"/>
        </w:rPr>
        <w:t xml:space="preserve">For discovery purposes, information is “relevant to the subject matter” if it might reasonably assist a party in evaluating the case, preparing for trial, or facilitating settlement. </w:t>
      </w:r>
      <w:r w:rsidRPr="00644FBA">
        <w:rPr>
          <w:rFonts w:ascii="Times" w:hAnsi="Times"/>
          <w:i/>
          <w:iCs/>
          <w:sz w:val="24"/>
          <w:szCs w:val="24"/>
        </w:rPr>
        <w:t>Gonzalez v. Superior Court</w:t>
      </w:r>
      <w:r w:rsidRPr="00644FBA">
        <w:rPr>
          <w:rFonts w:ascii="Times" w:hAnsi="Times"/>
          <w:sz w:val="24"/>
          <w:szCs w:val="24"/>
        </w:rPr>
        <w:t xml:space="preserve"> (1995) 33 Cal.App.4th 1539, 1546. Furthermore, the “relevance to the subject matter” and “reasonably calculated to lead to discovery of admissible evidence” standards are applied liberally. Any doubt is generally resolved in favor of permitting discovery. </w:t>
      </w:r>
      <w:r w:rsidRPr="00644FBA">
        <w:rPr>
          <w:rFonts w:ascii="Times" w:hAnsi="Times"/>
          <w:i/>
          <w:iCs/>
          <w:sz w:val="24"/>
          <w:szCs w:val="24"/>
        </w:rPr>
        <w:t xml:space="preserve">Colonial Life &amp; Acc. Ins. Co. v. Superior Court </w:t>
      </w:r>
      <w:r w:rsidRPr="00644FBA">
        <w:rPr>
          <w:rFonts w:ascii="Times" w:hAnsi="Times"/>
          <w:sz w:val="24"/>
          <w:szCs w:val="24"/>
        </w:rPr>
        <w:t xml:space="preserve">(1982) 31 Cal.3d 785, 790. Moreover, the test for admissibility is whether the request seeks information that might reasonably lead to other evidence that would be admissible at trial. </w:t>
      </w:r>
      <w:r w:rsidRPr="00644FBA">
        <w:rPr>
          <w:rFonts w:ascii="Times" w:hAnsi="Times"/>
          <w:i/>
          <w:iCs/>
          <w:sz w:val="24"/>
          <w:szCs w:val="24"/>
        </w:rPr>
        <w:t>Davies v. Sup. Ct. (State of California)</w:t>
      </w:r>
      <w:r w:rsidRPr="00644FBA">
        <w:rPr>
          <w:rFonts w:ascii="Times" w:hAnsi="Times"/>
          <w:sz w:val="24"/>
          <w:szCs w:val="24"/>
        </w:rPr>
        <w:t xml:space="preserve"> (1984) 36 Cal.3d 291, 201. “When </w:t>
      </w:r>
      <w:r w:rsidRPr="00644FBA">
        <w:rPr>
          <w:rFonts w:ascii="Times" w:hAnsi="Times"/>
          <w:sz w:val="24"/>
          <w:szCs w:val="24"/>
        </w:rPr>
        <w:lastRenderedPageBreak/>
        <w:t xml:space="preserve">disputed facts provide a basis for the exercise of discretion, those facts should be liberally construed in favor of discovery.” </w:t>
      </w:r>
      <w:proofErr w:type="spellStart"/>
      <w:r w:rsidRPr="00644FBA">
        <w:rPr>
          <w:rFonts w:ascii="Times" w:hAnsi="Times"/>
          <w:i/>
          <w:iCs/>
          <w:sz w:val="24"/>
          <w:szCs w:val="24"/>
        </w:rPr>
        <w:t>Zellerino</w:t>
      </w:r>
      <w:proofErr w:type="spellEnd"/>
      <w:r w:rsidRPr="00644FBA">
        <w:rPr>
          <w:rFonts w:ascii="Times" w:hAnsi="Times"/>
          <w:i/>
          <w:iCs/>
          <w:sz w:val="24"/>
          <w:szCs w:val="24"/>
        </w:rPr>
        <w:t xml:space="preserve"> v. Brown</w:t>
      </w:r>
      <w:r w:rsidRPr="00644FBA">
        <w:rPr>
          <w:rFonts w:ascii="Times" w:hAnsi="Times"/>
          <w:sz w:val="24"/>
          <w:szCs w:val="24"/>
        </w:rPr>
        <w:t xml:space="preserve"> (1991) 235 Cal.App.3d 1097, 1108-09.</w:t>
      </w:r>
    </w:p>
    <w:p w14:paraId="7726B8D7" w14:textId="77777777" w:rsidR="00644FBA" w:rsidRPr="00644FBA" w:rsidRDefault="00644FBA" w:rsidP="00644FBA">
      <w:pPr>
        <w:spacing w:after="0" w:line="240" w:lineRule="auto"/>
        <w:jc w:val="both"/>
        <w:rPr>
          <w:rFonts w:ascii="Times" w:hAnsi="Times"/>
          <w:sz w:val="24"/>
          <w:szCs w:val="24"/>
        </w:rPr>
      </w:pPr>
    </w:p>
    <w:p w14:paraId="238E1003" w14:textId="77777777" w:rsidR="00644FBA" w:rsidRPr="00644FBA" w:rsidRDefault="00644FBA" w:rsidP="00AE05AD">
      <w:pPr>
        <w:spacing w:after="0" w:line="240" w:lineRule="auto"/>
        <w:ind w:firstLine="360"/>
        <w:jc w:val="both"/>
        <w:rPr>
          <w:rFonts w:ascii="Times" w:hAnsi="Times"/>
          <w:sz w:val="24"/>
          <w:szCs w:val="24"/>
        </w:rPr>
      </w:pPr>
      <w:r w:rsidRPr="00644FBA">
        <w:rPr>
          <w:rFonts w:ascii="Times" w:hAnsi="Times"/>
          <w:sz w:val="24"/>
          <w:szCs w:val="24"/>
        </w:rPr>
        <w:t xml:space="preserve">“The test of relevance is whether the evidence tends logically, naturally, and by reasonable inference to establish material facts.” </w:t>
      </w:r>
      <w:proofErr w:type="spellStart"/>
      <w:r w:rsidRPr="00644FBA">
        <w:rPr>
          <w:rFonts w:ascii="Times" w:hAnsi="Times"/>
          <w:i/>
          <w:iCs/>
          <w:sz w:val="24"/>
          <w:szCs w:val="24"/>
        </w:rPr>
        <w:t>Donlen</w:t>
      </w:r>
      <w:proofErr w:type="spellEnd"/>
      <w:r w:rsidRPr="00644FBA">
        <w:rPr>
          <w:rFonts w:ascii="Times" w:hAnsi="Times"/>
          <w:i/>
          <w:iCs/>
          <w:sz w:val="24"/>
          <w:szCs w:val="24"/>
        </w:rPr>
        <w:t xml:space="preserve"> v. Ford Motor Co.</w:t>
      </w:r>
      <w:r w:rsidRPr="00644FBA">
        <w:rPr>
          <w:rFonts w:ascii="Times" w:hAnsi="Times"/>
          <w:sz w:val="24"/>
          <w:szCs w:val="24"/>
        </w:rPr>
        <w:t xml:space="preserve">, 217 Cal. App. 4th 138, 147 (2013), as modified on denial of reh'g (July 8, 2013) (quotations and citations omitted). In </w:t>
      </w:r>
      <w:proofErr w:type="spellStart"/>
      <w:r w:rsidRPr="00644FBA">
        <w:rPr>
          <w:rFonts w:ascii="Times" w:hAnsi="Times"/>
          <w:i/>
          <w:iCs/>
          <w:sz w:val="24"/>
          <w:szCs w:val="24"/>
        </w:rPr>
        <w:t>Donlen</w:t>
      </w:r>
      <w:proofErr w:type="spellEnd"/>
      <w:r w:rsidRPr="00644FBA">
        <w:rPr>
          <w:rFonts w:ascii="Times" w:hAnsi="Times"/>
          <w:sz w:val="24"/>
          <w:szCs w:val="24"/>
        </w:rPr>
        <w:t xml:space="preserve">, the court found simply that evidence regarding the same or similar complaints in other vehicles “applied equally to plaintiff’s vehicle. Such evidence was certainly probative and not unduly prejudicial.” Id. at 154. In </w:t>
      </w:r>
      <w:proofErr w:type="spellStart"/>
      <w:r w:rsidRPr="00644FBA">
        <w:rPr>
          <w:rFonts w:ascii="Times" w:hAnsi="Times"/>
          <w:i/>
          <w:iCs/>
          <w:sz w:val="24"/>
          <w:szCs w:val="24"/>
        </w:rPr>
        <w:t>Doppes</w:t>
      </w:r>
      <w:proofErr w:type="spellEnd"/>
      <w:r w:rsidRPr="00644FBA">
        <w:rPr>
          <w:rFonts w:ascii="Times" w:hAnsi="Times"/>
          <w:i/>
          <w:iCs/>
          <w:sz w:val="24"/>
          <w:szCs w:val="24"/>
        </w:rPr>
        <w:t xml:space="preserve"> v. Bentley Motors, Inc.</w:t>
      </w:r>
      <w:r w:rsidRPr="00644FBA">
        <w:rPr>
          <w:rFonts w:ascii="Times" w:hAnsi="Times"/>
          <w:sz w:val="24"/>
          <w:szCs w:val="24"/>
        </w:rPr>
        <w:t xml:space="preserve">, 174 Cal. App. 4th 967 (2009), for example, the trial court appointed a discovery referee who directed defendant Bentley to produce, inter alia, “all documents relating to odor complaints concerning four-door Bentley automobiles in model years 199 to 2003, all documents regarding the origin of the odor problem, and all documents concerning the criteria or procedures for authorizing installation of the odor control kits.” </w:t>
      </w:r>
      <w:r w:rsidRPr="00644FBA">
        <w:rPr>
          <w:rFonts w:ascii="Times" w:hAnsi="Times"/>
          <w:i/>
          <w:iCs/>
          <w:sz w:val="24"/>
          <w:szCs w:val="24"/>
        </w:rPr>
        <w:t>Id</w:t>
      </w:r>
      <w:r w:rsidRPr="00644FBA">
        <w:rPr>
          <w:rFonts w:ascii="Times" w:hAnsi="Times"/>
          <w:sz w:val="24"/>
          <w:szCs w:val="24"/>
        </w:rPr>
        <w:t xml:space="preserve">. at 976. The referee also found “good reason to believe that Bentley is either withholding documents, or has failed to conduct a diligent search to find them” and recommended that Bentley provide a declaration “detailing the efforts expended to locate such documents.” </w:t>
      </w:r>
      <w:r w:rsidRPr="00644FBA">
        <w:rPr>
          <w:rFonts w:ascii="Times" w:hAnsi="Times"/>
          <w:i/>
          <w:iCs/>
          <w:sz w:val="24"/>
          <w:szCs w:val="24"/>
        </w:rPr>
        <w:t>Id</w:t>
      </w:r>
      <w:r w:rsidRPr="00644FBA">
        <w:rPr>
          <w:rFonts w:ascii="Times" w:hAnsi="Times"/>
          <w:sz w:val="24"/>
          <w:szCs w:val="24"/>
        </w:rPr>
        <w:t xml:space="preserve">. at 978. The trial court agreed and ordered Bentley to produce “all documents of any description referring or relating to the odor problem or complaints of odor in Bentley automobiles for model years 1999 to 2006.” </w:t>
      </w:r>
      <w:r w:rsidRPr="00644FBA">
        <w:rPr>
          <w:rFonts w:ascii="Times" w:hAnsi="Times"/>
          <w:i/>
          <w:iCs/>
          <w:sz w:val="24"/>
          <w:szCs w:val="24"/>
        </w:rPr>
        <w:t>Id</w:t>
      </w:r>
      <w:r w:rsidRPr="00644FBA">
        <w:rPr>
          <w:rFonts w:ascii="Times" w:hAnsi="Times"/>
          <w:sz w:val="24"/>
          <w:szCs w:val="24"/>
        </w:rPr>
        <w:t>. at 979. The trial court subsequently ordered Bentley to allow the plaintiff’s counsel to “‘data-mine’ the e-mail files for references to the odor problem and to copy e-mails referencing the odor problem.” Id. On appeal with respect to sanctions imposed for Bentley’s misuse of discovery, which Bentley did not dispute, the court found that “[t]</w:t>
      </w:r>
      <w:proofErr w:type="spellStart"/>
      <w:r w:rsidRPr="00644FBA">
        <w:rPr>
          <w:rFonts w:ascii="Times" w:hAnsi="Times"/>
          <w:sz w:val="24"/>
          <w:szCs w:val="24"/>
        </w:rPr>
        <w:t>erminating</w:t>
      </w:r>
      <w:proofErr w:type="spellEnd"/>
      <w:r w:rsidRPr="00644FBA">
        <w:rPr>
          <w:rFonts w:ascii="Times" w:hAnsi="Times"/>
          <w:sz w:val="24"/>
          <w:szCs w:val="24"/>
        </w:rPr>
        <w:t xml:space="preserve"> sanctions against Bentley were imperative.” </w:t>
      </w:r>
      <w:r w:rsidRPr="00644FBA">
        <w:rPr>
          <w:rFonts w:ascii="Times" w:hAnsi="Times"/>
          <w:i/>
          <w:iCs/>
          <w:sz w:val="24"/>
          <w:szCs w:val="24"/>
        </w:rPr>
        <w:t>Id</w:t>
      </w:r>
      <w:r w:rsidRPr="00644FBA">
        <w:rPr>
          <w:rFonts w:ascii="Times" w:hAnsi="Times"/>
          <w:sz w:val="24"/>
          <w:szCs w:val="24"/>
        </w:rPr>
        <w:t>. at 994.</w:t>
      </w:r>
    </w:p>
    <w:p w14:paraId="1C08F8F7" w14:textId="77777777" w:rsidR="00644FBA" w:rsidRPr="00644FBA" w:rsidRDefault="00644FBA" w:rsidP="00644FBA">
      <w:pPr>
        <w:spacing w:after="0" w:line="240" w:lineRule="auto"/>
        <w:jc w:val="both"/>
        <w:rPr>
          <w:rFonts w:ascii="Times" w:hAnsi="Times"/>
          <w:sz w:val="24"/>
          <w:szCs w:val="24"/>
        </w:rPr>
      </w:pPr>
    </w:p>
    <w:p w14:paraId="1F43E636" w14:textId="77777777" w:rsidR="00644FBA" w:rsidRPr="00644FBA" w:rsidRDefault="00644FBA" w:rsidP="00AE05AD">
      <w:pPr>
        <w:spacing w:after="0" w:line="240" w:lineRule="auto"/>
        <w:ind w:firstLine="720"/>
        <w:jc w:val="both"/>
        <w:rPr>
          <w:rFonts w:ascii="Times" w:hAnsi="Times"/>
          <w:sz w:val="24"/>
          <w:szCs w:val="24"/>
        </w:rPr>
      </w:pPr>
      <w:r w:rsidRPr="00644FBA">
        <w:rPr>
          <w:rFonts w:ascii="Times" w:hAnsi="Times"/>
          <w:sz w:val="24"/>
          <w:szCs w:val="24"/>
        </w:rPr>
        <w:t xml:space="preserve">In this case, Plaintiffs allege that the Subject Vehicle exhibited various defects, including defects affecting the electrical system and steering system, which Defendant and its authorized repair facilities failed to repair within a reasonable number of repair opportunities. To prevail on a claim under Song-Beverly, Plaintiffs must prove a nonconformity with a vehicle that substantially impaired its use, value or safety that Defendant and/or its authorized representatives failed to repair after a reasonable number of attempts. </w:t>
      </w:r>
      <w:r w:rsidRPr="00644FBA">
        <w:rPr>
          <w:rFonts w:ascii="Times" w:hAnsi="Times"/>
          <w:i/>
          <w:iCs/>
          <w:sz w:val="24"/>
          <w:szCs w:val="24"/>
        </w:rPr>
        <w:t>Oregel v. Am. Isuzu Motors, Inc</w:t>
      </w:r>
      <w:r w:rsidRPr="00644FBA">
        <w:rPr>
          <w:rFonts w:ascii="Times" w:hAnsi="Times"/>
          <w:sz w:val="24"/>
          <w:szCs w:val="24"/>
        </w:rPr>
        <w:t xml:space="preserve">., 90 Cal. App. 4th 1094 (2001). Song-Beverly also provides a right of action to recover damages and other relief if the vehicle was sold with a known defect. Civ. Code § 1794(a); </w:t>
      </w:r>
      <w:r w:rsidRPr="00644FBA">
        <w:rPr>
          <w:rFonts w:ascii="Times" w:hAnsi="Times"/>
          <w:i/>
          <w:iCs/>
          <w:sz w:val="24"/>
          <w:szCs w:val="24"/>
        </w:rPr>
        <w:t>Mexia v. Rinker Boat Co., Inc.</w:t>
      </w:r>
      <w:r w:rsidRPr="00644FBA">
        <w:rPr>
          <w:rFonts w:ascii="Times" w:hAnsi="Times"/>
          <w:sz w:val="24"/>
          <w:szCs w:val="24"/>
        </w:rPr>
        <w:t xml:space="preserve">, 17 Cal. App. 4th 1297, 1304-05 (2009) (implied warranty of merchantability). Under Song-Beverly, a “manufacturer has an affirmative duty to replace a vehicle or to make restitution to the buyer if the manufacturer is unable to repair the new vehicle after a reasonable number of repair attempts.” </w:t>
      </w:r>
      <w:proofErr w:type="spellStart"/>
      <w:r w:rsidRPr="00644FBA">
        <w:rPr>
          <w:rFonts w:ascii="Times" w:hAnsi="Times"/>
          <w:i/>
          <w:iCs/>
          <w:sz w:val="24"/>
          <w:szCs w:val="24"/>
        </w:rPr>
        <w:t>Lukather</w:t>
      </w:r>
      <w:proofErr w:type="spellEnd"/>
      <w:r w:rsidRPr="00644FBA">
        <w:rPr>
          <w:rFonts w:ascii="Times" w:hAnsi="Times"/>
          <w:i/>
          <w:iCs/>
          <w:sz w:val="24"/>
          <w:szCs w:val="24"/>
        </w:rPr>
        <w:t xml:space="preserve"> v. General Motors, LLC</w:t>
      </w:r>
      <w:r w:rsidRPr="00644FBA">
        <w:rPr>
          <w:rFonts w:ascii="Times" w:hAnsi="Times"/>
          <w:sz w:val="24"/>
          <w:szCs w:val="24"/>
        </w:rPr>
        <w:t xml:space="preserve">, 181 Cal. App. 4th 1041, 1050 (2010). Willful failure to comply with that duty subjects a manufacturer to a civil penalty of up to twice the </w:t>
      </w:r>
      <w:proofErr w:type="gramStart"/>
      <w:r w:rsidRPr="00644FBA">
        <w:rPr>
          <w:rFonts w:ascii="Times" w:hAnsi="Times"/>
          <w:sz w:val="24"/>
          <w:szCs w:val="24"/>
        </w:rPr>
        <w:t>amount</w:t>
      </w:r>
      <w:proofErr w:type="gramEnd"/>
      <w:r w:rsidRPr="00644FBA">
        <w:rPr>
          <w:rFonts w:ascii="Times" w:hAnsi="Times"/>
          <w:sz w:val="24"/>
          <w:szCs w:val="24"/>
        </w:rPr>
        <w:t xml:space="preserve"> of actual damages. Civ. Code § 1794(c). 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644FBA">
        <w:rPr>
          <w:rFonts w:ascii="Times" w:hAnsi="Times"/>
          <w:i/>
          <w:iCs/>
          <w:sz w:val="24"/>
          <w:szCs w:val="24"/>
        </w:rPr>
        <w:t>See</w:t>
      </w:r>
      <w:r w:rsidRPr="00644FBA">
        <w:rPr>
          <w:rFonts w:ascii="Times" w:hAnsi="Times"/>
          <w:sz w:val="24"/>
          <w:szCs w:val="24"/>
        </w:rPr>
        <w:t xml:space="preserve"> </w:t>
      </w:r>
      <w:r w:rsidRPr="00644FBA">
        <w:rPr>
          <w:rFonts w:ascii="Times" w:hAnsi="Times"/>
          <w:i/>
          <w:iCs/>
          <w:sz w:val="24"/>
          <w:szCs w:val="24"/>
        </w:rPr>
        <w:t>Jensen v. BMW of N. Am., LLC</w:t>
      </w:r>
      <w:r w:rsidRPr="00644FBA">
        <w:rPr>
          <w:rFonts w:ascii="Times" w:hAnsi="Times"/>
          <w:sz w:val="24"/>
          <w:szCs w:val="24"/>
        </w:rPr>
        <w:t xml:space="preserve">, 35 Cal. App. 4th 112, 136 (1995) (in assessing whether a violation is willful, the jury is entitled to consider, among other things, whether “the manufacturer knew the vehicle had not been repaired within a reasonable period or after a reasonable number of attempts.”); </w:t>
      </w:r>
      <w:r w:rsidRPr="00644FBA">
        <w:rPr>
          <w:rFonts w:ascii="Times" w:hAnsi="Times"/>
          <w:i/>
          <w:iCs/>
          <w:sz w:val="24"/>
          <w:szCs w:val="24"/>
        </w:rPr>
        <w:t>Oregel, supra,</w:t>
      </w:r>
      <w:r w:rsidRPr="00644FBA">
        <w:rPr>
          <w:rFonts w:ascii="Times" w:hAnsi="Times"/>
          <w:sz w:val="24"/>
          <w:szCs w:val="24"/>
        </w:rPr>
        <w:t xml:space="preserve"> 90 Cal. App. 4th at 1104-1105 (evidence that defendant-manufacturer was aware of unsuccessful repair attempts can support civil penalty liability); </w:t>
      </w:r>
      <w:r w:rsidRPr="00644FBA">
        <w:rPr>
          <w:rFonts w:ascii="Times" w:hAnsi="Times"/>
          <w:i/>
          <w:iCs/>
          <w:sz w:val="24"/>
          <w:szCs w:val="24"/>
        </w:rPr>
        <w:t xml:space="preserve">Troensegaard v. </w:t>
      </w:r>
      <w:proofErr w:type="spellStart"/>
      <w:r w:rsidRPr="00644FBA">
        <w:rPr>
          <w:rFonts w:ascii="Times" w:hAnsi="Times"/>
          <w:i/>
          <w:iCs/>
          <w:sz w:val="24"/>
          <w:szCs w:val="24"/>
        </w:rPr>
        <w:t>Silvercrest</w:t>
      </w:r>
      <w:proofErr w:type="spellEnd"/>
      <w:r w:rsidRPr="00644FBA">
        <w:rPr>
          <w:rFonts w:ascii="Times" w:hAnsi="Times"/>
          <w:i/>
          <w:iCs/>
          <w:sz w:val="24"/>
          <w:szCs w:val="24"/>
        </w:rPr>
        <w:t xml:space="preserve"> </w:t>
      </w:r>
      <w:r w:rsidRPr="00644FBA">
        <w:rPr>
          <w:rFonts w:ascii="Times" w:hAnsi="Times"/>
          <w:i/>
          <w:iCs/>
          <w:sz w:val="24"/>
          <w:szCs w:val="24"/>
        </w:rPr>
        <w:lastRenderedPageBreak/>
        <w:t>Indus., Inc.</w:t>
      </w:r>
      <w:r w:rsidRPr="00644FBA">
        <w:rPr>
          <w:rFonts w:ascii="Times" w:hAnsi="Times"/>
          <w:sz w:val="24"/>
          <w:szCs w:val="24"/>
        </w:rPr>
        <w:t xml:space="preserve">, 175 Cal. App. 3d 218, 226 (1985) (noting that defendant manufacturer’s possession of a report on the defective condition was sufficient to support civil penalty liability); </w:t>
      </w:r>
      <w:proofErr w:type="spellStart"/>
      <w:r w:rsidRPr="00644FBA">
        <w:rPr>
          <w:rFonts w:ascii="Times" w:hAnsi="Times"/>
          <w:i/>
          <w:iCs/>
          <w:sz w:val="24"/>
          <w:szCs w:val="24"/>
        </w:rPr>
        <w:t>Krotin</w:t>
      </w:r>
      <w:proofErr w:type="spellEnd"/>
      <w:r w:rsidRPr="00644FBA">
        <w:rPr>
          <w:rFonts w:ascii="Times" w:hAnsi="Times"/>
          <w:i/>
          <w:iCs/>
          <w:sz w:val="24"/>
          <w:szCs w:val="24"/>
        </w:rPr>
        <w:t>, supra</w:t>
      </w:r>
      <w:r w:rsidRPr="00644FBA">
        <w:rPr>
          <w:rFonts w:ascii="Times" w:hAnsi="Times"/>
          <w:sz w:val="24"/>
          <w:szCs w:val="24"/>
        </w:rPr>
        <w:t>, 38 Cal. App. 4th 294, 303 (1995) (noting an “automobile manufacturer need not read minds to determine which vehicles are defective; it need only read its dealers’ service records. []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0AE36E3A" w14:textId="77777777" w:rsidR="00644FBA" w:rsidRPr="00644FBA" w:rsidRDefault="00644FBA" w:rsidP="00644FBA">
      <w:pPr>
        <w:spacing w:after="0" w:line="240" w:lineRule="auto"/>
        <w:jc w:val="both"/>
        <w:rPr>
          <w:rFonts w:ascii="Times" w:hAnsi="Times"/>
          <w:sz w:val="24"/>
          <w:szCs w:val="24"/>
        </w:rPr>
      </w:pPr>
    </w:p>
    <w:p w14:paraId="52085AEB" w14:textId="77777777" w:rsidR="00644FBA" w:rsidRPr="00644FBA" w:rsidRDefault="00644FBA" w:rsidP="00AE05AD">
      <w:pPr>
        <w:spacing w:after="0" w:line="240" w:lineRule="auto"/>
        <w:ind w:firstLine="720"/>
        <w:jc w:val="both"/>
        <w:rPr>
          <w:rFonts w:ascii="Times" w:hAnsi="Times"/>
          <w:sz w:val="24"/>
          <w:szCs w:val="24"/>
        </w:rPr>
      </w:pPr>
      <w:r w:rsidRPr="00644FBA">
        <w:rPr>
          <w:rFonts w:ascii="Times" w:hAnsi="Times"/>
          <w:sz w:val="24"/>
          <w:szCs w:val="24"/>
        </w:rPr>
        <w:t xml:space="preserve">In fact, the relevancy of the type of documents sought by Plaintiffs was confirmed in the recent Court of Appeal decision in </w:t>
      </w:r>
      <w:r w:rsidRPr="00644FBA">
        <w:rPr>
          <w:rFonts w:ascii="Times" w:hAnsi="Times"/>
          <w:i/>
          <w:iCs/>
          <w:sz w:val="24"/>
          <w:szCs w:val="24"/>
        </w:rPr>
        <w:t>Santana v. FCA US, LLC</w:t>
      </w:r>
      <w:r w:rsidRPr="00644FBA">
        <w:rPr>
          <w:rFonts w:ascii="Times" w:hAnsi="Times"/>
          <w:sz w:val="24"/>
          <w:szCs w:val="24"/>
        </w:rPr>
        <w:t>, 56 Cal. App. 5</w:t>
      </w:r>
      <w:r w:rsidRPr="00644FBA">
        <w:rPr>
          <w:rFonts w:ascii="Times" w:hAnsi="Times"/>
          <w:sz w:val="24"/>
          <w:szCs w:val="24"/>
          <w:vertAlign w:val="superscript"/>
        </w:rPr>
        <w:t>th</w:t>
      </w:r>
      <w:r w:rsidRPr="00644FBA">
        <w:rPr>
          <w:rFonts w:ascii="Times" w:hAnsi="Times"/>
          <w:sz w:val="24"/>
          <w:szCs w:val="24"/>
        </w:rPr>
        <w:t xml:space="preserve"> 344, 270 Cal.Rptr.3d 335 (2020). Specifically, the </w:t>
      </w:r>
      <w:r w:rsidRPr="00644FBA">
        <w:rPr>
          <w:rFonts w:ascii="Times" w:hAnsi="Times"/>
          <w:i/>
          <w:iCs/>
          <w:sz w:val="24"/>
          <w:szCs w:val="24"/>
        </w:rPr>
        <w:t>Santana</w:t>
      </w:r>
      <w:r w:rsidRPr="00644FBA">
        <w:rPr>
          <w:rFonts w:ascii="Times" w:hAnsi="Times"/>
          <w:sz w:val="24"/>
          <w:szCs w:val="24"/>
        </w:rPr>
        <w:t xml:space="preserve"> Court found:</w:t>
      </w:r>
    </w:p>
    <w:p w14:paraId="2594DDE3" w14:textId="77777777" w:rsidR="00644FBA" w:rsidRPr="00644FBA" w:rsidRDefault="00644FBA" w:rsidP="00644FBA">
      <w:pPr>
        <w:spacing w:after="0" w:line="240" w:lineRule="auto"/>
        <w:jc w:val="both"/>
        <w:rPr>
          <w:rFonts w:ascii="Times" w:hAnsi="Times"/>
          <w:sz w:val="24"/>
          <w:szCs w:val="24"/>
        </w:rPr>
      </w:pPr>
    </w:p>
    <w:p w14:paraId="5B11123F" w14:textId="77777777" w:rsidR="00644FBA" w:rsidRPr="00644FBA" w:rsidRDefault="00644FBA" w:rsidP="00AE05AD">
      <w:pPr>
        <w:spacing w:after="0" w:line="240" w:lineRule="auto"/>
        <w:ind w:firstLine="720"/>
        <w:jc w:val="both"/>
        <w:rPr>
          <w:rFonts w:ascii="Times" w:hAnsi="Times"/>
          <w:sz w:val="24"/>
          <w:szCs w:val="24"/>
        </w:rPr>
      </w:pPr>
      <w:r w:rsidRPr="00644FBA">
        <w:rPr>
          <w:rFonts w:ascii="Times" w:hAnsi="Times"/>
          <w:sz w:val="24"/>
          <w:szCs w:val="24"/>
        </w:rPr>
        <w:t>Here, there was evidence to support a finding that Chrysler's “repair” of the faulty fuel pump relay was intentionally inadequate during the warranty period. Specifically, the bridge operation solved one problem—stalling or failing to start—only to introduce a new defect: the inability of the fuel pump to shut off in the event of an accident. Contemporaneous internal e-mails demonstrated that Chrysler was aware of the problem. And Santana's expert testified there was no evidence that Chrysler's recall procedure ever accounted for the new risk, and that, in fact, Santana's vehicle was left with the new defect after the bridge operation. Although Chrysler did not include the actual warranty in our record, presumably it requires a repair that restores full functionality, not a “MacGyver” half measure that simply swaps defects. From this evidence, the jury could infer that Chrysler intentionally chose not fully to honor the express warranty, which is sufficient to support a civil penalty under Civil Code section 1794, subdivision (c).</w:t>
      </w:r>
    </w:p>
    <w:p w14:paraId="38F5F159" w14:textId="77777777" w:rsidR="00644FBA" w:rsidRPr="00644FBA" w:rsidRDefault="00644FBA" w:rsidP="00644FBA">
      <w:pPr>
        <w:spacing w:after="0" w:line="240" w:lineRule="auto"/>
        <w:jc w:val="both"/>
        <w:rPr>
          <w:rFonts w:ascii="Times" w:hAnsi="Times"/>
          <w:sz w:val="24"/>
          <w:szCs w:val="24"/>
        </w:rPr>
      </w:pPr>
    </w:p>
    <w:p w14:paraId="4E38C3D7" w14:textId="77777777" w:rsidR="00644FBA" w:rsidRPr="00644FBA" w:rsidRDefault="00644FBA" w:rsidP="00644FBA">
      <w:pPr>
        <w:spacing w:after="0" w:line="240" w:lineRule="auto"/>
        <w:jc w:val="both"/>
        <w:rPr>
          <w:rFonts w:ascii="Times" w:hAnsi="Times"/>
          <w:sz w:val="24"/>
          <w:szCs w:val="24"/>
        </w:rPr>
      </w:pPr>
      <w:r w:rsidRPr="00644FBA">
        <w:rPr>
          <w:rFonts w:ascii="Times" w:hAnsi="Times"/>
          <w:i/>
          <w:iCs/>
          <w:sz w:val="24"/>
          <w:szCs w:val="24"/>
        </w:rPr>
        <w:t>Santana v. FCA US, LLC</w:t>
      </w:r>
      <w:r w:rsidRPr="00644FBA">
        <w:rPr>
          <w:rFonts w:ascii="Times" w:hAnsi="Times"/>
          <w:sz w:val="24"/>
          <w:szCs w:val="24"/>
        </w:rPr>
        <w:t>, 56 Cal.App.5th 334, 347, 270 Cal.Rptr.3d 335, 345–346 (2020)</w:t>
      </w:r>
    </w:p>
    <w:p w14:paraId="72BDE725" w14:textId="77777777" w:rsidR="00644FBA" w:rsidRPr="00644FBA" w:rsidRDefault="00644FBA" w:rsidP="00644FBA">
      <w:pPr>
        <w:spacing w:after="0" w:line="240" w:lineRule="auto"/>
        <w:jc w:val="both"/>
        <w:rPr>
          <w:rFonts w:ascii="Times" w:hAnsi="Times"/>
          <w:sz w:val="24"/>
          <w:szCs w:val="24"/>
        </w:rPr>
      </w:pPr>
    </w:p>
    <w:p w14:paraId="7A5960B0" w14:textId="77777777" w:rsidR="00644FBA" w:rsidRPr="00644FBA" w:rsidRDefault="00644FBA" w:rsidP="00644FBA">
      <w:pPr>
        <w:spacing w:after="0" w:line="240" w:lineRule="auto"/>
        <w:jc w:val="both"/>
        <w:rPr>
          <w:rFonts w:ascii="Times" w:hAnsi="Times"/>
          <w:sz w:val="24"/>
          <w:szCs w:val="24"/>
        </w:rPr>
      </w:pPr>
      <w:r w:rsidRPr="00644FBA">
        <w:rPr>
          <w:rFonts w:ascii="Times" w:hAnsi="Times"/>
          <w:sz w:val="24"/>
          <w:szCs w:val="24"/>
        </w:rPr>
        <w:t xml:space="preserve">Accordingly, Plaintiffs are entitled to the documents sought, and Defendant must provide further Code-compliant responses that are verified, as well as all responsive documents. </w:t>
      </w:r>
    </w:p>
    <w:p w14:paraId="51DF2FA8" w14:textId="77777777" w:rsidR="00644FBA" w:rsidRPr="00644FBA" w:rsidRDefault="00644FBA" w:rsidP="00644FBA">
      <w:pPr>
        <w:spacing w:after="0" w:line="240" w:lineRule="auto"/>
        <w:jc w:val="both"/>
        <w:rPr>
          <w:rFonts w:ascii="Times" w:hAnsi="Times"/>
          <w:sz w:val="24"/>
          <w:szCs w:val="24"/>
        </w:rPr>
      </w:pPr>
    </w:p>
    <w:p w14:paraId="7A341346" w14:textId="77777777" w:rsidR="00644FBA" w:rsidRPr="00644FBA" w:rsidRDefault="00644FBA" w:rsidP="00644FBA">
      <w:pPr>
        <w:spacing w:after="0" w:line="240" w:lineRule="auto"/>
        <w:jc w:val="both"/>
        <w:rPr>
          <w:rFonts w:ascii="Times" w:hAnsi="Times"/>
          <w:b/>
          <w:bCs/>
          <w:sz w:val="24"/>
          <w:szCs w:val="24"/>
          <w:u w:val="single"/>
        </w:rPr>
      </w:pPr>
      <w:r w:rsidRPr="00644FBA">
        <w:rPr>
          <w:rFonts w:ascii="Times" w:hAnsi="Times"/>
          <w:i/>
          <w:iCs/>
          <w:sz w:val="24"/>
          <w:szCs w:val="24"/>
        </w:rPr>
        <w:tab/>
      </w:r>
      <w:r w:rsidRPr="00644FBA">
        <w:rPr>
          <w:rFonts w:ascii="Times" w:hAnsi="Times"/>
          <w:b/>
          <w:bCs/>
          <w:sz w:val="24"/>
          <w:szCs w:val="24"/>
          <w:u w:val="single"/>
        </w:rPr>
        <w:t>Requests for Production Nos. 1-3</w:t>
      </w:r>
    </w:p>
    <w:p w14:paraId="3AD45D11" w14:textId="77777777" w:rsidR="00644FBA" w:rsidRPr="00644FBA" w:rsidRDefault="00644FBA" w:rsidP="00644FBA">
      <w:pPr>
        <w:spacing w:after="0" w:line="240" w:lineRule="auto"/>
        <w:jc w:val="both"/>
        <w:rPr>
          <w:rFonts w:ascii="Times" w:hAnsi="Times"/>
          <w:b/>
          <w:bCs/>
          <w:sz w:val="24"/>
          <w:szCs w:val="24"/>
          <w:u w:val="single"/>
        </w:rPr>
      </w:pPr>
    </w:p>
    <w:p w14:paraId="000319BD" w14:textId="77777777" w:rsidR="00644FBA" w:rsidRPr="00644FBA" w:rsidRDefault="00644FBA" w:rsidP="00644FBA">
      <w:pPr>
        <w:spacing w:after="0" w:line="240" w:lineRule="auto"/>
        <w:jc w:val="both"/>
        <w:rPr>
          <w:rFonts w:ascii="Times" w:hAnsi="Times"/>
          <w:sz w:val="24"/>
          <w:szCs w:val="24"/>
        </w:rPr>
      </w:pPr>
      <w:r w:rsidRPr="00644FBA">
        <w:rPr>
          <w:rFonts w:ascii="Times" w:hAnsi="Times"/>
          <w:sz w:val="24"/>
          <w:szCs w:val="24"/>
        </w:rPr>
        <w:t>Plaintiffs’ requests seek documents related to Defendant’s claims and defenses that are identified in response to Plaintiff’s first set of Special Interrogatories, Form Interrogatories, and Answer to Plaintiffs’ Complaint. The documents sought are highly relevant as they establish evidence at the crux of this case. For discovery purposes, information is “relevant to the subject matter” if it might reasonably assist a party in evaluating the case, preparing for trial, or facilitating settlement. (</w:t>
      </w:r>
      <w:r w:rsidRPr="00644FBA">
        <w:rPr>
          <w:rFonts w:ascii="Times" w:hAnsi="Times"/>
          <w:i/>
          <w:iCs/>
          <w:sz w:val="24"/>
          <w:szCs w:val="24"/>
        </w:rPr>
        <w:t>Gonzalez v. Superior Court</w:t>
      </w:r>
      <w:r w:rsidRPr="00644FBA">
        <w:rPr>
          <w:rFonts w:ascii="Times" w:hAnsi="Times"/>
          <w:sz w:val="24"/>
          <w:szCs w:val="24"/>
        </w:rPr>
        <w:t xml:space="preserve"> (1995) 33 Cal.App.4th 1539, 1546.) Furthermore, the “relevance to the subject matter” and “reasonably calculated to lead to discovery of admissible evidence” standards are applied liberally. Any doubt is generally resolved in favor of permitting discovery.</w:t>
      </w:r>
    </w:p>
    <w:p w14:paraId="11FF22DB" w14:textId="77777777" w:rsidR="00644FBA" w:rsidRPr="00644FBA" w:rsidRDefault="00644FBA" w:rsidP="00644FBA">
      <w:pPr>
        <w:spacing w:after="0" w:line="240" w:lineRule="auto"/>
        <w:jc w:val="both"/>
        <w:rPr>
          <w:rFonts w:ascii="Times" w:hAnsi="Times"/>
          <w:sz w:val="24"/>
          <w:szCs w:val="24"/>
        </w:rPr>
      </w:pPr>
    </w:p>
    <w:p w14:paraId="03E8F212" w14:textId="77777777" w:rsidR="00644FBA" w:rsidRPr="00644FBA" w:rsidRDefault="00644FBA" w:rsidP="00644FBA">
      <w:pPr>
        <w:spacing w:after="0" w:line="240" w:lineRule="auto"/>
        <w:jc w:val="both"/>
        <w:rPr>
          <w:rFonts w:ascii="Times" w:hAnsi="Times"/>
          <w:sz w:val="24"/>
          <w:szCs w:val="24"/>
        </w:rPr>
      </w:pPr>
      <w:r w:rsidRPr="00644FBA">
        <w:rPr>
          <w:rFonts w:ascii="Times" w:hAnsi="Times"/>
          <w:sz w:val="24"/>
          <w:szCs w:val="24"/>
        </w:rPr>
        <w:t xml:space="preserve">Accordingly, Defendant must provide all documents requested, as well as a further Code-compliant responses that is verified. </w:t>
      </w:r>
    </w:p>
    <w:p w14:paraId="1A9B5AEB" w14:textId="77777777" w:rsidR="00644FBA" w:rsidRPr="00644FBA" w:rsidRDefault="00644FBA" w:rsidP="00644FBA">
      <w:pPr>
        <w:spacing w:after="0" w:line="240" w:lineRule="auto"/>
        <w:jc w:val="both"/>
        <w:rPr>
          <w:rFonts w:ascii="Times" w:hAnsi="Times"/>
          <w:sz w:val="24"/>
          <w:szCs w:val="24"/>
        </w:rPr>
      </w:pPr>
    </w:p>
    <w:p w14:paraId="54FBB84F" w14:textId="77777777" w:rsidR="00644FBA" w:rsidRPr="00644FBA" w:rsidRDefault="00644FBA" w:rsidP="00644FBA">
      <w:pPr>
        <w:spacing w:after="0" w:line="240" w:lineRule="auto"/>
        <w:jc w:val="both"/>
        <w:rPr>
          <w:rFonts w:ascii="Times" w:hAnsi="Times"/>
          <w:b/>
          <w:bCs/>
          <w:sz w:val="24"/>
          <w:szCs w:val="24"/>
          <w:u w:val="single"/>
        </w:rPr>
      </w:pPr>
      <w:r w:rsidRPr="00644FBA">
        <w:rPr>
          <w:rFonts w:ascii="Times" w:hAnsi="Times"/>
          <w:sz w:val="24"/>
          <w:szCs w:val="24"/>
        </w:rPr>
        <w:tab/>
      </w:r>
      <w:r w:rsidRPr="00644FBA">
        <w:rPr>
          <w:rFonts w:ascii="Times" w:hAnsi="Times"/>
          <w:b/>
          <w:bCs/>
          <w:sz w:val="24"/>
          <w:szCs w:val="24"/>
          <w:u w:val="single"/>
        </w:rPr>
        <w:t>Requests for Production Nos. 4-13, 15, 37-43</w:t>
      </w:r>
    </w:p>
    <w:p w14:paraId="57DA831B" w14:textId="77777777" w:rsidR="00644FBA" w:rsidRPr="00644FBA" w:rsidRDefault="00644FBA" w:rsidP="00644FBA">
      <w:pPr>
        <w:spacing w:after="0" w:line="240" w:lineRule="auto"/>
        <w:jc w:val="both"/>
        <w:rPr>
          <w:rFonts w:ascii="Times" w:hAnsi="Times"/>
          <w:b/>
          <w:bCs/>
          <w:sz w:val="24"/>
          <w:szCs w:val="24"/>
          <w:u w:val="single"/>
        </w:rPr>
      </w:pPr>
    </w:p>
    <w:p w14:paraId="74E48137" w14:textId="77777777" w:rsidR="00644FBA" w:rsidRPr="00644FBA" w:rsidRDefault="00644FBA" w:rsidP="00644FBA">
      <w:pPr>
        <w:spacing w:after="0" w:line="240" w:lineRule="auto"/>
        <w:jc w:val="both"/>
        <w:rPr>
          <w:rFonts w:ascii="Times" w:hAnsi="Times"/>
          <w:sz w:val="24"/>
          <w:szCs w:val="24"/>
        </w:rPr>
      </w:pPr>
      <w:r w:rsidRPr="00644FBA">
        <w:rPr>
          <w:rFonts w:ascii="Times" w:hAnsi="Times"/>
          <w:sz w:val="24"/>
          <w:szCs w:val="24"/>
        </w:rPr>
        <w:lastRenderedPageBreak/>
        <w:t xml:space="preserve">Plaintiffs’ requests 4 through 10 seek documents relating to their own vehicle, which is the subject of this lawsuit. Surely, Plaintiffs are entitled to all documents in Defendant’s possession, custody, or control to investigate and support Plaintiffs’ allegations as well as Defendant’s defenses. Instead of providing a straight forward response that complies with the Code, Defendant asserts a laundry-list of baseless objections and provides an evasive response. Plaintiffs seek, for example, all documents relating to the Subject Vehicle’s sale, repair history, inspection, warranties, repurchase request, service request, repair orders, invoices, labor receipts, parts order forms, computer printouts, parts receipts, canceled checks, billing statements, and printout of the warranty repair history. </w:t>
      </w:r>
    </w:p>
    <w:p w14:paraId="7D3E1616" w14:textId="77777777" w:rsidR="00644FBA" w:rsidRPr="00644FBA" w:rsidRDefault="00644FBA" w:rsidP="00644FBA">
      <w:pPr>
        <w:spacing w:after="0" w:line="240" w:lineRule="auto"/>
        <w:jc w:val="both"/>
        <w:rPr>
          <w:rFonts w:ascii="Times" w:hAnsi="Times"/>
          <w:sz w:val="24"/>
          <w:szCs w:val="24"/>
        </w:rPr>
      </w:pPr>
    </w:p>
    <w:p w14:paraId="51E2349D" w14:textId="77777777" w:rsidR="00644FBA" w:rsidRPr="00644FBA" w:rsidRDefault="00644FBA" w:rsidP="00644FBA">
      <w:pPr>
        <w:spacing w:after="0" w:line="240" w:lineRule="auto"/>
        <w:jc w:val="both"/>
        <w:rPr>
          <w:rFonts w:ascii="Times" w:hAnsi="Times"/>
          <w:sz w:val="24"/>
          <w:szCs w:val="24"/>
        </w:rPr>
      </w:pPr>
      <w:r w:rsidRPr="00644FBA">
        <w:rPr>
          <w:rFonts w:ascii="Times" w:hAnsi="Times"/>
          <w:sz w:val="24"/>
          <w:szCs w:val="24"/>
        </w:rPr>
        <w:t xml:space="preserve">Additionally, these requests seek unprivileged communications regarding the Subject Vehicle between Defendant and other entities, which can establish Defendant’s knowledge of the defects plaguing Plaintiffs’ vehicle and Defendant’s inability to repair the defects within a reasonable number of repair opportunities. </w:t>
      </w:r>
    </w:p>
    <w:p w14:paraId="6E095727" w14:textId="77777777" w:rsidR="00644FBA" w:rsidRPr="00644FBA" w:rsidRDefault="00644FBA" w:rsidP="00644FBA">
      <w:pPr>
        <w:spacing w:after="0" w:line="240" w:lineRule="auto"/>
        <w:jc w:val="both"/>
        <w:rPr>
          <w:rFonts w:ascii="Times" w:hAnsi="Times"/>
          <w:sz w:val="24"/>
          <w:szCs w:val="24"/>
        </w:rPr>
      </w:pPr>
    </w:p>
    <w:p w14:paraId="7761777D" w14:textId="77777777" w:rsidR="00644FBA" w:rsidRPr="00644FBA" w:rsidRDefault="00644FBA" w:rsidP="00644FBA">
      <w:pPr>
        <w:spacing w:after="0" w:line="240" w:lineRule="auto"/>
        <w:jc w:val="both"/>
        <w:rPr>
          <w:rFonts w:ascii="Times" w:hAnsi="Times"/>
          <w:sz w:val="24"/>
          <w:szCs w:val="24"/>
        </w:rPr>
      </w:pPr>
      <w:r w:rsidRPr="00644FBA">
        <w:rPr>
          <w:rFonts w:ascii="Times" w:hAnsi="Times"/>
          <w:sz w:val="24"/>
          <w:szCs w:val="24"/>
        </w:rPr>
        <w:t xml:space="preserve">Moreover, the aforementioned requests seek Diagnostic Trouble Code, Powertrain Control Module, and Body Control Module reports taken for the Subject Vehicle. These reports contain information logged by the Subject Vehicle’s “computers” that can establish the existence of defects in the Subject Vehicle, as well as Defendant’s knowledge of the existence of such defects. </w:t>
      </w:r>
    </w:p>
    <w:p w14:paraId="7131EE38" w14:textId="77777777" w:rsidR="00644FBA" w:rsidRPr="00644FBA" w:rsidRDefault="00644FBA" w:rsidP="00644FBA">
      <w:pPr>
        <w:spacing w:after="0" w:line="240" w:lineRule="auto"/>
        <w:jc w:val="both"/>
        <w:rPr>
          <w:rFonts w:ascii="Times" w:hAnsi="Times"/>
          <w:sz w:val="24"/>
          <w:szCs w:val="24"/>
        </w:rPr>
      </w:pPr>
    </w:p>
    <w:p w14:paraId="238CC545" w14:textId="77777777" w:rsidR="00644FBA" w:rsidRPr="00644FBA" w:rsidRDefault="00644FBA" w:rsidP="00644FBA">
      <w:pPr>
        <w:spacing w:after="0" w:line="240" w:lineRule="auto"/>
        <w:jc w:val="both"/>
        <w:rPr>
          <w:rFonts w:ascii="Times" w:hAnsi="Times"/>
          <w:sz w:val="24"/>
          <w:szCs w:val="24"/>
        </w:rPr>
      </w:pPr>
      <w:r w:rsidRPr="00644FBA">
        <w:rPr>
          <w:rFonts w:ascii="Times" w:hAnsi="Times"/>
          <w:sz w:val="24"/>
          <w:szCs w:val="24"/>
        </w:rPr>
        <w:t xml:space="preserve">In this case, Plaintiffs allege that the Subject Vehicle exhibited various defects, including defects affecting the electrical system and steering system, which Defendant and its authorized repair facilities failed to repair within a reasonable number of repair opportunities. To prevail on a claim under Song-Beverly, Plaintiffs must prove a nonconformity with a vehicle that substantially impaired its use, value or safety that Defendant and/or its authorized representatives failed to repair after a reasonable number of attempts. </w:t>
      </w:r>
      <w:r w:rsidRPr="00644FBA">
        <w:rPr>
          <w:rFonts w:ascii="Times" w:hAnsi="Times"/>
          <w:i/>
          <w:iCs/>
          <w:sz w:val="24"/>
          <w:szCs w:val="24"/>
        </w:rPr>
        <w:t>Oregel v. Am. Isuzu Motors, Inc</w:t>
      </w:r>
      <w:r w:rsidRPr="00644FBA">
        <w:rPr>
          <w:rFonts w:ascii="Times" w:hAnsi="Times"/>
          <w:sz w:val="24"/>
          <w:szCs w:val="24"/>
        </w:rPr>
        <w:t xml:space="preserve">., 90 Cal. App. 4th 1094 (2001). Song-Beverly also provides a right of action to recover damages and other relief if the vehicle was sold with a known defect. Civ. Code § 1794(a); </w:t>
      </w:r>
      <w:r w:rsidRPr="00644FBA">
        <w:rPr>
          <w:rFonts w:ascii="Times" w:hAnsi="Times"/>
          <w:i/>
          <w:iCs/>
          <w:sz w:val="24"/>
          <w:szCs w:val="24"/>
        </w:rPr>
        <w:t>Mexia v. Rinker Boat Co., Inc.</w:t>
      </w:r>
      <w:r w:rsidRPr="00644FBA">
        <w:rPr>
          <w:rFonts w:ascii="Times" w:hAnsi="Times"/>
          <w:sz w:val="24"/>
          <w:szCs w:val="24"/>
        </w:rPr>
        <w:t>, 17 Cal. App. 4th 1297, 1304-05 (2009) (implied warranty of merchantability).</w:t>
      </w:r>
    </w:p>
    <w:p w14:paraId="6A78A355" w14:textId="77777777" w:rsidR="00644FBA" w:rsidRPr="00644FBA" w:rsidRDefault="00644FBA" w:rsidP="00644FBA">
      <w:pPr>
        <w:spacing w:after="0" w:line="240" w:lineRule="auto"/>
        <w:jc w:val="both"/>
        <w:rPr>
          <w:rFonts w:ascii="Times" w:hAnsi="Times"/>
          <w:sz w:val="24"/>
          <w:szCs w:val="24"/>
        </w:rPr>
      </w:pPr>
    </w:p>
    <w:p w14:paraId="311EE7B8" w14:textId="77777777" w:rsidR="00644FBA" w:rsidRPr="00644FBA" w:rsidRDefault="00644FBA" w:rsidP="00644FBA">
      <w:pPr>
        <w:spacing w:after="0" w:line="240" w:lineRule="auto"/>
        <w:jc w:val="both"/>
        <w:rPr>
          <w:rFonts w:ascii="Times" w:hAnsi="Times"/>
          <w:sz w:val="24"/>
          <w:szCs w:val="24"/>
        </w:rPr>
      </w:pPr>
      <w:r w:rsidRPr="00644FBA">
        <w:rPr>
          <w:rFonts w:ascii="Times" w:hAnsi="Times"/>
          <w:sz w:val="24"/>
          <w:szCs w:val="24"/>
        </w:rPr>
        <w:t xml:space="preserve">Accordingly, Plaintiffs are entitled to further Code-compliant responses with boilerplate objections that are verified and accompanied with all responsive documents. </w:t>
      </w:r>
    </w:p>
    <w:p w14:paraId="09AC50A5" w14:textId="77777777" w:rsidR="00644FBA" w:rsidRPr="00644FBA" w:rsidRDefault="00644FBA" w:rsidP="00644FBA">
      <w:pPr>
        <w:spacing w:after="0" w:line="240" w:lineRule="auto"/>
        <w:jc w:val="both"/>
        <w:rPr>
          <w:rFonts w:ascii="Times" w:hAnsi="Times"/>
          <w:sz w:val="24"/>
          <w:szCs w:val="24"/>
        </w:rPr>
      </w:pPr>
    </w:p>
    <w:p w14:paraId="329E7267" w14:textId="77777777" w:rsidR="00644FBA" w:rsidRPr="00644FBA" w:rsidRDefault="00644FBA" w:rsidP="00644FBA">
      <w:pPr>
        <w:spacing w:after="0" w:line="240" w:lineRule="auto"/>
        <w:jc w:val="both"/>
        <w:rPr>
          <w:rFonts w:ascii="Times" w:hAnsi="Times"/>
          <w:b/>
          <w:bCs/>
          <w:sz w:val="24"/>
          <w:szCs w:val="24"/>
          <w:u w:val="single"/>
        </w:rPr>
      </w:pPr>
      <w:r w:rsidRPr="00644FBA">
        <w:rPr>
          <w:rFonts w:ascii="Times" w:hAnsi="Times"/>
          <w:sz w:val="24"/>
          <w:szCs w:val="24"/>
        </w:rPr>
        <w:tab/>
      </w:r>
      <w:r w:rsidRPr="00644FBA">
        <w:rPr>
          <w:rFonts w:ascii="Times" w:hAnsi="Times"/>
          <w:b/>
          <w:bCs/>
          <w:sz w:val="24"/>
          <w:szCs w:val="24"/>
          <w:u w:val="single"/>
        </w:rPr>
        <w:t>Requests for Production Nos. 16-32</w:t>
      </w:r>
    </w:p>
    <w:p w14:paraId="0397B68F" w14:textId="77777777" w:rsidR="00644FBA" w:rsidRPr="00644FBA" w:rsidRDefault="00644FBA" w:rsidP="00644FBA">
      <w:pPr>
        <w:spacing w:after="0" w:line="240" w:lineRule="auto"/>
        <w:jc w:val="both"/>
        <w:rPr>
          <w:rFonts w:ascii="Times" w:hAnsi="Times"/>
          <w:b/>
          <w:bCs/>
          <w:sz w:val="24"/>
          <w:szCs w:val="24"/>
          <w:u w:val="single"/>
        </w:rPr>
      </w:pPr>
    </w:p>
    <w:p w14:paraId="6E4336F5" w14:textId="77777777" w:rsidR="00644FBA" w:rsidRPr="00644FBA" w:rsidRDefault="00644FBA" w:rsidP="00644FBA">
      <w:pPr>
        <w:spacing w:after="0" w:line="240" w:lineRule="auto"/>
        <w:jc w:val="both"/>
        <w:rPr>
          <w:rFonts w:ascii="Times" w:hAnsi="Times"/>
          <w:sz w:val="24"/>
          <w:szCs w:val="24"/>
        </w:rPr>
      </w:pPr>
      <w:r w:rsidRPr="00644FBA">
        <w:rPr>
          <w:rFonts w:ascii="Times" w:hAnsi="Times"/>
          <w:sz w:val="24"/>
          <w:szCs w:val="24"/>
        </w:rPr>
        <w:t xml:space="preserve">Plaintiffs’ requests seek documents, including but not limited to, Defendant’s written warranties and the policies and procedures related to what is covered under said warranties, how coverage is determined, training related to warranty coverage, etc. Moreover, the aforementioned requests seek Defendant’s policies and procedures relating to how Defendant handles customer complaints, and whether Defendant abides by its affirmative duties to repurchase defective vehicles under the Song-Beverly Act. </w:t>
      </w:r>
    </w:p>
    <w:p w14:paraId="23A038E3" w14:textId="77777777" w:rsidR="00644FBA" w:rsidRPr="00644FBA" w:rsidRDefault="00644FBA" w:rsidP="00644FBA">
      <w:pPr>
        <w:spacing w:after="0" w:line="240" w:lineRule="auto"/>
        <w:jc w:val="both"/>
        <w:rPr>
          <w:rFonts w:ascii="Times" w:hAnsi="Times"/>
          <w:b/>
          <w:bCs/>
          <w:sz w:val="24"/>
          <w:szCs w:val="24"/>
          <w:u w:val="single"/>
        </w:rPr>
      </w:pPr>
    </w:p>
    <w:p w14:paraId="54B314E3" w14:textId="77777777" w:rsidR="00644FBA" w:rsidRPr="00644FBA" w:rsidRDefault="00644FBA" w:rsidP="00644FBA">
      <w:pPr>
        <w:spacing w:after="0" w:line="240" w:lineRule="auto"/>
        <w:jc w:val="both"/>
        <w:rPr>
          <w:rFonts w:ascii="Times" w:hAnsi="Times"/>
          <w:sz w:val="24"/>
          <w:szCs w:val="24"/>
        </w:rPr>
      </w:pPr>
      <w:r w:rsidRPr="00644FBA">
        <w:rPr>
          <w:rFonts w:ascii="Times" w:hAnsi="Times"/>
          <w:sz w:val="24"/>
          <w:szCs w:val="24"/>
        </w:rPr>
        <w:t xml:space="preserve">This discovery can support Plaintiffs’ claim for civil penalties, because it will show Defendant’s awareness of a prevalent defect which Defendant and its authorized repair facilities could not repair. </w:t>
      </w:r>
      <w:r w:rsidRPr="00644FBA">
        <w:rPr>
          <w:rFonts w:ascii="Times" w:hAnsi="Times"/>
          <w:b/>
          <w:bCs/>
          <w:sz w:val="24"/>
          <w:szCs w:val="24"/>
          <w:u w:val="single"/>
        </w:rPr>
        <w:t xml:space="preserve"> </w:t>
      </w:r>
      <w:r w:rsidRPr="00644FBA">
        <w:rPr>
          <w:rFonts w:ascii="Times" w:hAnsi="Times"/>
          <w:i/>
          <w:iCs/>
          <w:sz w:val="24"/>
          <w:szCs w:val="24"/>
        </w:rPr>
        <w:t>See</w:t>
      </w:r>
      <w:r w:rsidRPr="00644FBA">
        <w:rPr>
          <w:rFonts w:ascii="Times" w:hAnsi="Times"/>
          <w:sz w:val="24"/>
          <w:szCs w:val="24"/>
        </w:rPr>
        <w:t xml:space="preserve"> </w:t>
      </w:r>
      <w:r w:rsidRPr="00644FBA">
        <w:rPr>
          <w:rFonts w:ascii="Times" w:hAnsi="Times"/>
          <w:i/>
          <w:iCs/>
          <w:sz w:val="24"/>
          <w:szCs w:val="24"/>
        </w:rPr>
        <w:t>Jensen v. BMW of N. Am., LLC</w:t>
      </w:r>
      <w:r w:rsidRPr="00644FBA">
        <w:rPr>
          <w:rFonts w:ascii="Times" w:hAnsi="Times"/>
          <w:sz w:val="24"/>
          <w:szCs w:val="24"/>
        </w:rPr>
        <w:t xml:space="preserve">, 35 Cal. App. 4th 112, 136 (1995) (in assessing whether a violation is willful, the jury is entitled to consider, among other things, whether “the manufacturer </w:t>
      </w:r>
      <w:r w:rsidRPr="00644FBA">
        <w:rPr>
          <w:rFonts w:ascii="Times" w:hAnsi="Times"/>
          <w:sz w:val="24"/>
          <w:szCs w:val="24"/>
        </w:rPr>
        <w:lastRenderedPageBreak/>
        <w:t xml:space="preserve">knew the vehicle had not been repaired within a reasonable period or after a reasonable number of attempts.”); </w:t>
      </w:r>
      <w:r w:rsidRPr="00644FBA">
        <w:rPr>
          <w:rFonts w:ascii="Times" w:hAnsi="Times"/>
          <w:i/>
          <w:iCs/>
          <w:sz w:val="24"/>
          <w:szCs w:val="24"/>
        </w:rPr>
        <w:t>Oregel, supra,</w:t>
      </w:r>
      <w:r w:rsidRPr="00644FBA">
        <w:rPr>
          <w:rFonts w:ascii="Times" w:hAnsi="Times"/>
          <w:sz w:val="24"/>
          <w:szCs w:val="24"/>
        </w:rPr>
        <w:t xml:space="preserve"> 90 Cal. App. 4th at 1104-1105 (evidence that defendant-manufacturer was aware of unsuccessful repair attempts can support civil penalty liability); </w:t>
      </w:r>
      <w:r w:rsidRPr="00644FBA">
        <w:rPr>
          <w:rFonts w:ascii="Times" w:hAnsi="Times"/>
          <w:i/>
          <w:iCs/>
          <w:sz w:val="24"/>
          <w:szCs w:val="24"/>
        </w:rPr>
        <w:t xml:space="preserve">Troensegaard v. </w:t>
      </w:r>
      <w:proofErr w:type="spellStart"/>
      <w:r w:rsidRPr="00644FBA">
        <w:rPr>
          <w:rFonts w:ascii="Times" w:hAnsi="Times"/>
          <w:i/>
          <w:iCs/>
          <w:sz w:val="24"/>
          <w:szCs w:val="24"/>
        </w:rPr>
        <w:t>Silvercrest</w:t>
      </w:r>
      <w:proofErr w:type="spellEnd"/>
      <w:r w:rsidRPr="00644FBA">
        <w:rPr>
          <w:rFonts w:ascii="Times" w:hAnsi="Times"/>
          <w:i/>
          <w:iCs/>
          <w:sz w:val="24"/>
          <w:szCs w:val="24"/>
        </w:rPr>
        <w:t xml:space="preserve"> Indus., Inc.</w:t>
      </w:r>
      <w:r w:rsidRPr="00644FBA">
        <w:rPr>
          <w:rFonts w:ascii="Times" w:hAnsi="Times"/>
          <w:sz w:val="24"/>
          <w:szCs w:val="24"/>
        </w:rPr>
        <w:t xml:space="preserve">, 175 Cal. App. 3d 218, 226 (1985) (noting that defendant manufacturer’s possession of a report on the defective condition was sufficient to support civil penalty liability); </w:t>
      </w:r>
      <w:proofErr w:type="spellStart"/>
      <w:r w:rsidRPr="00644FBA">
        <w:rPr>
          <w:rFonts w:ascii="Times" w:hAnsi="Times"/>
          <w:i/>
          <w:iCs/>
          <w:sz w:val="24"/>
          <w:szCs w:val="24"/>
        </w:rPr>
        <w:t>Krotin</w:t>
      </w:r>
      <w:proofErr w:type="spellEnd"/>
      <w:r w:rsidRPr="00644FBA">
        <w:rPr>
          <w:rFonts w:ascii="Times" w:hAnsi="Times"/>
          <w:i/>
          <w:iCs/>
          <w:sz w:val="24"/>
          <w:szCs w:val="24"/>
        </w:rPr>
        <w:t>, supra</w:t>
      </w:r>
      <w:r w:rsidRPr="00644FBA">
        <w:rPr>
          <w:rFonts w:ascii="Times" w:hAnsi="Times"/>
          <w:sz w:val="24"/>
          <w:szCs w:val="24"/>
        </w:rPr>
        <w:t>, 38 Cal. App. 4th 294, 303 (1995) (noting an “automobile manufacturer need not read minds to determine which vehicles are defective; it need only read its dealers’ service records. []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753519AF" w14:textId="77777777" w:rsidR="00644FBA" w:rsidRPr="00644FBA" w:rsidRDefault="00644FBA" w:rsidP="00644FBA">
      <w:pPr>
        <w:spacing w:after="0" w:line="240" w:lineRule="auto"/>
        <w:jc w:val="both"/>
        <w:rPr>
          <w:rFonts w:ascii="Times" w:hAnsi="Times"/>
          <w:sz w:val="24"/>
          <w:szCs w:val="24"/>
        </w:rPr>
      </w:pPr>
    </w:p>
    <w:p w14:paraId="11274AE2" w14:textId="77777777" w:rsidR="00644FBA" w:rsidRPr="00644FBA" w:rsidRDefault="00644FBA" w:rsidP="00644FBA">
      <w:pPr>
        <w:spacing w:after="0" w:line="240" w:lineRule="auto"/>
        <w:jc w:val="both"/>
        <w:rPr>
          <w:rFonts w:ascii="Times" w:hAnsi="Times"/>
          <w:b/>
          <w:bCs/>
          <w:sz w:val="24"/>
          <w:szCs w:val="24"/>
          <w:u w:val="single"/>
        </w:rPr>
      </w:pPr>
      <w:r w:rsidRPr="00644FBA">
        <w:rPr>
          <w:rFonts w:ascii="Times" w:hAnsi="Times"/>
          <w:sz w:val="24"/>
          <w:szCs w:val="24"/>
        </w:rPr>
        <w:tab/>
      </w:r>
      <w:r w:rsidRPr="00644FBA">
        <w:rPr>
          <w:rFonts w:ascii="Times" w:hAnsi="Times"/>
          <w:b/>
          <w:bCs/>
          <w:sz w:val="24"/>
          <w:szCs w:val="24"/>
          <w:u w:val="single"/>
        </w:rPr>
        <w:t>Requests for Production Nos. 14, 33-36</w:t>
      </w:r>
    </w:p>
    <w:p w14:paraId="2B7080C4" w14:textId="77777777" w:rsidR="00644FBA" w:rsidRPr="00644FBA" w:rsidRDefault="00644FBA" w:rsidP="00644FBA">
      <w:pPr>
        <w:spacing w:after="0" w:line="240" w:lineRule="auto"/>
        <w:jc w:val="both"/>
        <w:rPr>
          <w:rFonts w:ascii="Times" w:hAnsi="Times"/>
          <w:b/>
          <w:bCs/>
          <w:sz w:val="24"/>
          <w:szCs w:val="24"/>
          <w:u w:val="single"/>
        </w:rPr>
      </w:pPr>
    </w:p>
    <w:p w14:paraId="1608AFAE" w14:textId="77777777" w:rsidR="00644FBA" w:rsidRPr="00644FBA" w:rsidRDefault="00644FBA" w:rsidP="00644FBA">
      <w:pPr>
        <w:spacing w:after="0" w:line="240" w:lineRule="auto"/>
        <w:jc w:val="both"/>
        <w:rPr>
          <w:rFonts w:ascii="Times" w:hAnsi="Times"/>
          <w:sz w:val="24"/>
          <w:szCs w:val="24"/>
        </w:rPr>
      </w:pPr>
      <w:r w:rsidRPr="00644FBA">
        <w:rPr>
          <w:rFonts w:ascii="Times" w:hAnsi="Times"/>
          <w:sz w:val="24"/>
          <w:szCs w:val="24"/>
        </w:rPr>
        <w:t xml:space="preserve">These requests seek information that establishes Defendant’s knowledge of the same or similar defects in other vehicles of the same year, make, and model. This evidence will establish Defendant’s knowledge and inability to repair the defects, as well as its failure to repurchase the Subject Vehicle despite Defendant’s inability to repair the vehicle within a reasonable number of repair opportunities. The discovery sought will support Plaintiffs’ claim for civil penalties and will expose Defendant to up to two-times the actual damages in this case. Perhaps this is why Defendant asserts baseless objections and refuses to produce all the documents sought. </w:t>
      </w:r>
    </w:p>
    <w:p w14:paraId="66485CD5" w14:textId="77777777" w:rsidR="00644FBA" w:rsidRPr="00644FBA" w:rsidRDefault="00644FBA" w:rsidP="00644FBA">
      <w:pPr>
        <w:spacing w:after="0" w:line="240" w:lineRule="auto"/>
        <w:jc w:val="both"/>
        <w:rPr>
          <w:rFonts w:ascii="Times" w:hAnsi="Times"/>
          <w:sz w:val="24"/>
          <w:szCs w:val="24"/>
        </w:rPr>
      </w:pPr>
    </w:p>
    <w:p w14:paraId="011E412F" w14:textId="77777777" w:rsidR="00644FBA" w:rsidRPr="00644FBA" w:rsidRDefault="00644FBA" w:rsidP="00644FBA">
      <w:pPr>
        <w:spacing w:after="0" w:line="240" w:lineRule="auto"/>
        <w:jc w:val="both"/>
        <w:rPr>
          <w:rFonts w:ascii="Times" w:hAnsi="Times"/>
          <w:sz w:val="24"/>
          <w:szCs w:val="24"/>
        </w:rPr>
      </w:pPr>
      <w:r w:rsidRPr="00644FBA">
        <w:rPr>
          <w:rFonts w:ascii="Times" w:hAnsi="Times"/>
          <w:sz w:val="24"/>
          <w:szCs w:val="24"/>
        </w:rPr>
        <w:t xml:space="preserve">Willful failure to comply with that duty subjects a manufacturer to a civil penalty of up to twice the </w:t>
      </w:r>
      <w:proofErr w:type="gramStart"/>
      <w:r w:rsidRPr="00644FBA">
        <w:rPr>
          <w:rFonts w:ascii="Times" w:hAnsi="Times"/>
          <w:sz w:val="24"/>
          <w:szCs w:val="24"/>
        </w:rPr>
        <w:t>amount</w:t>
      </w:r>
      <w:proofErr w:type="gramEnd"/>
      <w:r w:rsidRPr="00644FBA">
        <w:rPr>
          <w:rFonts w:ascii="Times" w:hAnsi="Times"/>
          <w:sz w:val="24"/>
          <w:szCs w:val="24"/>
        </w:rPr>
        <w:t xml:space="preserve"> of actual damages. Civ. Code § 1794(c). Critical to the showing of “willfulness” is whether the manufacturer knew of the alleged defect, including not only through evidence that the vehicle was not been repaired after a reasonable number of attempts, but also through internal investigations and warranty records showing that other consumers were similarly affected. </w:t>
      </w:r>
      <w:r w:rsidRPr="00644FBA">
        <w:rPr>
          <w:rFonts w:ascii="Times" w:hAnsi="Times"/>
          <w:i/>
          <w:iCs/>
          <w:sz w:val="24"/>
          <w:szCs w:val="24"/>
        </w:rPr>
        <w:t>See</w:t>
      </w:r>
      <w:r w:rsidRPr="00644FBA">
        <w:rPr>
          <w:rFonts w:ascii="Times" w:hAnsi="Times"/>
          <w:sz w:val="24"/>
          <w:szCs w:val="24"/>
        </w:rPr>
        <w:t xml:space="preserve"> </w:t>
      </w:r>
      <w:r w:rsidRPr="00644FBA">
        <w:rPr>
          <w:rFonts w:ascii="Times" w:hAnsi="Times"/>
          <w:i/>
          <w:iCs/>
          <w:sz w:val="24"/>
          <w:szCs w:val="24"/>
        </w:rPr>
        <w:t>Jensen v. BMW of N. Am., LLC</w:t>
      </w:r>
      <w:r w:rsidRPr="00644FBA">
        <w:rPr>
          <w:rFonts w:ascii="Times" w:hAnsi="Times"/>
          <w:sz w:val="24"/>
          <w:szCs w:val="24"/>
        </w:rPr>
        <w:t xml:space="preserve">, 35 Cal. App. 4th 112, 136 (1995) (in assessing whether a violation is willful, the jury is entitled to consider, among other things, whether “the manufacturer knew the vehicle had not been repaired within a reasonable period or after a reasonable number of attempts.”); </w:t>
      </w:r>
      <w:r w:rsidRPr="00644FBA">
        <w:rPr>
          <w:rFonts w:ascii="Times" w:hAnsi="Times"/>
          <w:i/>
          <w:iCs/>
          <w:sz w:val="24"/>
          <w:szCs w:val="24"/>
        </w:rPr>
        <w:t>Oregel, supra,</w:t>
      </w:r>
      <w:r w:rsidRPr="00644FBA">
        <w:rPr>
          <w:rFonts w:ascii="Times" w:hAnsi="Times"/>
          <w:sz w:val="24"/>
          <w:szCs w:val="24"/>
        </w:rPr>
        <w:t xml:space="preserve"> 90 Cal. App. 4th at 1104-1105 (evidence that defendant-manufacturer was aware of unsuccessful repair attempts can support civil penalty liability); </w:t>
      </w:r>
      <w:r w:rsidRPr="00644FBA">
        <w:rPr>
          <w:rFonts w:ascii="Times" w:hAnsi="Times"/>
          <w:i/>
          <w:iCs/>
          <w:sz w:val="24"/>
          <w:szCs w:val="24"/>
        </w:rPr>
        <w:t xml:space="preserve">Troensegaard v. </w:t>
      </w:r>
      <w:proofErr w:type="spellStart"/>
      <w:r w:rsidRPr="00644FBA">
        <w:rPr>
          <w:rFonts w:ascii="Times" w:hAnsi="Times"/>
          <w:i/>
          <w:iCs/>
          <w:sz w:val="24"/>
          <w:szCs w:val="24"/>
        </w:rPr>
        <w:t>Silvercrest</w:t>
      </w:r>
      <w:proofErr w:type="spellEnd"/>
      <w:r w:rsidRPr="00644FBA">
        <w:rPr>
          <w:rFonts w:ascii="Times" w:hAnsi="Times"/>
          <w:i/>
          <w:iCs/>
          <w:sz w:val="24"/>
          <w:szCs w:val="24"/>
        </w:rPr>
        <w:t xml:space="preserve"> Indus., Inc.</w:t>
      </w:r>
      <w:r w:rsidRPr="00644FBA">
        <w:rPr>
          <w:rFonts w:ascii="Times" w:hAnsi="Times"/>
          <w:sz w:val="24"/>
          <w:szCs w:val="24"/>
        </w:rPr>
        <w:t xml:space="preserve">, 175 Cal. App. 3d 218, 226 (1985) (noting that defendant manufacturer’s possession of a report on the defective condition was sufficient to support civil penalty liability); </w:t>
      </w:r>
      <w:proofErr w:type="spellStart"/>
      <w:r w:rsidRPr="00644FBA">
        <w:rPr>
          <w:rFonts w:ascii="Times" w:hAnsi="Times"/>
          <w:i/>
          <w:iCs/>
          <w:sz w:val="24"/>
          <w:szCs w:val="24"/>
        </w:rPr>
        <w:t>Krotin</w:t>
      </w:r>
      <w:proofErr w:type="spellEnd"/>
      <w:r w:rsidRPr="00644FBA">
        <w:rPr>
          <w:rFonts w:ascii="Times" w:hAnsi="Times"/>
          <w:i/>
          <w:iCs/>
          <w:sz w:val="24"/>
          <w:szCs w:val="24"/>
        </w:rPr>
        <w:t>, supra</w:t>
      </w:r>
      <w:r w:rsidRPr="00644FBA">
        <w:rPr>
          <w:rFonts w:ascii="Times" w:hAnsi="Times"/>
          <w:sz w:val="24"/>
          <w:szCs w:val="24"/>
        </w:rPr>
        <w:t>, 38 Cal. App. 4th 294, 303 (1995) (noting an “automobile manufacturer need not read minds to determine which vehicles are defective; it need only read its dealers’ service records. [] Computerized recordkeeping at dealership service departments could easily facilitate [a manufacturer’s awareness of every failed repair attempt], even without any direct contact from the consumer to the manufacturer or any request for replacement or reimbursement.”)</w:t>
      </w:r>
    </w:p>
    <w:p w14:paraId="00B74779" w14:textId="77777777" w:rsidR="00644FBA" w:rsidRPr="00644FBA" w:rsidRDefault="00644FBA" w:rsidP="00644FBA">
      <w:pPr>
        <w:spacing w:after="0" w:line="240" w:lineRule="auto"/>
        <w:jc w:val="both"/>
        <w:rPr>
          <w:rFonts w:ascii="Times" w:hAnsi="Times"/>
          <w:sz w:val="24"/>
          <w:szCs w:val="24"/>
        </w:rPr>
      </w:pPr>
    </w:p>
    <w:p w14:paraId="123DA48F" w14:textId="77777777" w:rsidR="00644FBA" w:rsidRPr="00644FBA" w:rsidRDefault="00644FBA" w:rsidP="00134E36">
      <w:pPr>
        <w:spacing w:after="0" w:line="240" w:lineRule="auto"/>
        <w:ind w:firstLine="720"/>
        <w:jc w:val="both"/>
        <w:rPr>
          <w:rFonts w:ascii="Times" w:hAnsi="Times"/>
          <w:sz w:val="24"/>
          <w:szCs w:val="24"/>
        </w:rPr>
      </w:pPr>
      <w:r w:rsidRPr="00644FBA">
        <w:rPr>
          <w:rFonts w:ascii="Times" w:hAnsi="Times"/>
          <w:sz w:val="24"/>
          <w:szCs w:val="24"/>
        </w:rPr>
        <w:t xml:space="preserve">Defendant must provide further Code-compliant responses without boilerplate objections and all responsive documents. </w:t>
      </w:r>
    </w:p>
    <w:p w14:paraId="274EE38C" w14:textId="34DB720B" w:rsidR="00644FBA" w:rsidRDefault="00644FBA" w:rsidP="004D2BA7">
      <w:pPr>
        <w:spacing w:after="0" w:line="240" w:lineRule="auto"/>
        <w:jc w:val="both"/>
        <w:rPr>
          <w:rFonts w:ascii="Times" w:hAnsi="Times"/>
          <w:sz w:val="24"/>
          <w:szCs w:val="24"/>
        </w:rPr>
      </w:pPr>
    </w:p>
    <w:p w14:paraId="72CCA8E2" w14:textId="74BAA17D" w:rsidR="00134E36" w:rsidRPr="00134E36" w:rsidRDefault="00134E36" w:rsidP="00134E36">
      <w:pPr>
        <w:spacing w:after="0" w:line="240" w:lineRule="auto"/>
        <w:jc w:val="center"/>
        <w:rPr>
          <w:rFonts w:ascii="Times" w:hAnsi="Times"/>
          <w:b/>
          <w:bCs/>
          <w:sz w:val="24"/>
          <w:szCs w:val="24"/>
          <w:u w:val="single"/>
        </w:rPr>
      </w:pPr>
      <w:r w:rsidRPr="00134E36">
        <w:rPr>
          <w:rFonts w:ascii="Times" w:hAnsi="Times"/>
          <w:b/>
          <w:bCs/>
          <w:sz w:val="24"/>
          <w:szCs w:val="24"/>
          <w:u w:val="single"/>
        </w:rPr>
        <w:t>SPECIAL INTERROGATORIES</w:t>
      </w:r>
    </w:p>
    <w:p w14:paraId="3077C93C" w14:textId="77777777" w:rsidR="00134E36" w:rsidRPr="00134E36" w:rsidRDefault="00134E36" w:rsidP="00134E36">
      <w:pPr>
        <w:spacing w:after="0" w:line="240" w:lineRule="auto"/>
        <w:jc w:val="both"/>
        <w:rPr>
          <w:rFonts w:ascii="Times" w:hAnsi="Times"/>
          <w:sz w:val="24"/>
          <w:szCs w:val="24"/>
        </w:rPr>
      </w:pPr>
    </w:p>
    <w:p w14:paraId="7E6FC242"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 xml:space="preserve">Plaintiffs allege that they purchased the Subject Vehicle which was manufactured and/or distributed by Defendant. Along with the purchase of the Subject Vehicle, Defendant expressly </w:t>
      </w:r>
      <w:r w:rsidRPr="00134E36">
        <w:rPr>
          <w:rFonts w:ascii="Times" w:hAnsi="Times"/>
          <w:sz w:val="24"/>
          <w:szCs w:val="24"/>
        </w:rPr>
        <w:lastRenderedPageBreak/>
        <w:t xml:space="preserve">warranted to fix or repair any defects in workmanship or materials. During Plaintiffs’ ownership of the vehicle, Plaintiffs experienced significant problems with the Subject Vehicle, which Defendant’s authorized repair facilities were unable to repair within a reasonable number of repair opportunities. Under Song-Beverly, a “manufacturer has an affirmative duty to replace a vehicle or to make restitution to the buyer if the manufacturer is unable to repair the new vehicle after a reasonable number of repair attempts.” </w:t>
      </w:r>
      <w:proofErr w:type="spellStart"/>
      <w:r w:rsidRPr="00134E36">
        <w:rPr>
          <w:rFonts w:ascii="Times" w:hAnsi="Times"/>
          <w:i/>
          <w:iCs/>
          <w:sz w:val="24"/>
          <w:szCs w:val="24"/>
        </w:rPr>
        <w:t>Lukather</w:t>
      </w:r>
      <w:proofErr w:type="spellEnd"/>
      <w:r w:rsidRPr="00134E36">
        <w:rPr>
          <w:rFonts w:ascii="Times" w:hAnsi="Times"/>
          <w:i/>
          <w:iCs/>
          <w:sz w:val="24"/>
          <w:szCs w:val="24"/>
        </w:rPr>
        <w:t xml:space="preserve"> v. General Motors, LLC</w:t>
      </w:r>
      <w:r w:rsidRPr="00134E36">
        <w:rPr>
          <w:rFonts w:ascii="Times" w:hAnsi="Times"/>
          <w:sz w:val="24"/>
          <w:szCs w:val="24"/>
        </w:rPr>
        <w:t xml:space="preserve">, 181 Cal. App. 4th 1041, 1050 (2010). Willful failure to comply with that duty subjects a manufacturer to a civil penalty of up to twice the </w:t>
      </w:r>
      <w:proofErr w:type="gramStart"/>
      <w:r w:rsidRPr="00134E36">
        <w:rPr>
          <w:rFonts w:ascii="Times" w:hAnsi="Times"/>
          <w:sz w:val="24"/>
          <w:szCs w:val="24"/>
        </w:rPr>
        <w:t>amount</w:t>
      </w:r>
      <w:proofErr w:type="gramEnd"/>
      <w:r w:rsidRPr="00134E36">
        <w:rPr>
          <w:rFonts w:ascii="Times" w:hAnsi="Times"/>
          <w:sz w:val="24"/>
          <w:szCs w:val="24"/>
        </w:rPr>
        <w:t xml:space="preserve"> of actual damages. Civ. Code § 1794(c). </w:t>
      </w:r>
    </w:p>
    <w:p w14:paraId="207C5869" w14:textId="77777777" w:rsidR="00134E36" w:rsidRPr="00134E36" w:rsidRDefault="00134E36" w:rsidP="00134E36">
      <w:pPr>
        <w:spacing w:after="0" w:line="240" w:lineRule="auto"/>
        <w:jc w:val="both"/>
        <w:rPr>
          <w:rFonts w:ascii="Times" w:hAnsi="Times"/>
          <w:sz w:val="24"/>
          <w:szCs w:val="24"/>
        </w:rPr>
      </w:pPr>
    </w:p>
    <w:p w14:paraId="5D58867D" w14:textId="77777777" w:rsidR="00134E36" w:rsidRPr="00134E36" w:rsidRDefault="00134E36" w:rsidP="00134E36">
      <w:pPr>
        <w:spacing w:after="0" w:line="240" w:lineRule="auto"/>
        <w:jc w:val="both"/>
        <w:rPr>
          <w:rFonts w:ascii="Times" w:hAnsi="Times"/>
          <w:sz w:val="24"/>
          <w:szCs w:val="24"/>
        </w:rPr>
      </w:pPr>
      <w:proofErr w:type="gramStart"/>
      <w:r w:rsidRPr="00134E36">
        <w:rPr>
          <w:rFonts w:ascii="Times" w:hAnsi="Times"/>
          <w:sz w:val="24"/>
          <w:szCs w:val="24"/>
        </w:rPr>
        <w:t>”Discovery</w:t>
      </w:r>
      <w:proofErr w:type="gramEnd"/>
      <w:r w:rsidRPr="00134E36">
        <w:rPr>
          <w:rFonts w:ascii="Times" w:hAnsi="Times"/>
          <w:sz w:val="24"/>
          <w:szCs w:val="24"/>
        </w:rPr>
        <w:t xml:space="preserve"> may be obtained 0f the identity and location 0f persons having knowledge 0f any discoverable matter . . ."[Emphasis added]. C.C.P. §§ 2017.010; 2030.010(a); </w:t>
      </w:r>
      <w:r w:rsidRPr="00134E36">
        <w:rPr>
          <w:rFonts w:ascii="Times" w:hAnsi="Times"/>
          <w:i/>
          <w:iCs/>
          <w:sz w:val="24"/>
          <w:szCs w:val="24"/>
        </w:rPr>
        <w:t>Gonzalez v. Superior Court</w:t>
      </w:r>
      <w:r w:rsidRPr="00134E36">
        <w:rPr>
          <w:rFonts w:ascii="Times" w:hAnsi="Times"/>
          <w:sz w:val="24"/>
          <w:szCs w:val="24"/>
        </w:rPr>
        <w:t xml:space="preserve"> (1995) 33 Cal.App.4th 1539; 1546-1547. If the information sought "might reasonably assist a party in evaluating the case, preparing for trial or facilitating settlement, its discovery is permissible.</w:t>
      </w:r>
    </w:p>
    <w:p w14:paraId="282C5B27" w14:textId="77777777" w:rsidR="00134E36" w:rsidRPr="00134E36" w:rsidRDefault="00134E36" w:rsidP="00134E36">
      <w:pPr>
        <w:spacing w:after="0" w:line="240" w:lineRule="auto"/>
        <w:jc w:val="both"/>
        <w:rPr>
          <w:rFonts w:ascii="Times" w:hAnsi="Times"/>
          <w:sz w:val="24"/>
          <w:szCs w:val="24"/>
        </w:rPr>
      </w:pPr>
      <w:r w:rsidRPr="00134E36">
        <w:rPr>
          <w:rFonts w:ascii="Times" w:hAnsi="Times"/>
          <w:i/>
          <w:iCs/>
          <w:sz w:val="24"/>
          <w:szCs w:val="24"/>
        </w:rPr>
        <w:t>Lipton v. Superior Court</w:t>
      </w:r>
      <w:r w:rsidRPr="00134E36">
        <w:rPr>
          <w:rFonts w:ascii="Times" w:hAnsi="Times"/>
          <w:sz w:val="24"/>
          <w:szCs w:val="24"/>
        </w:rPr>
        <w:t xml:space="preserve"> (1996) 48 Cal.App.4th 1599, 1611.</w:t>
      </w:r>
    </w:p>
    <w:p w14:paraId="48B1B6AB" w14:textId="77777777" w:rsidR="00134E36" w:rsidRPr="00134E36" w:rsidRDefault="00134E36" w:rsidP="00134E36">
      <w:pPr>
        <w:spacing w:after="0" w:line="240" w:lineRule="auto"/>
        <w:jc w:val="both"/>
        <w:rPr>
          <w:rFonts w:ascii="Times" w:hAnsi="Times"/>
          <w:sz w:val="24"/>
          <w:szCs w:val="24"/>
        </w:rPr>
      </w:pPr>
    </w:p>
    <w:p w14:paraId="64B98D3E"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 xml:space="preserve">Here, Plaintiffs propounded 62 Special Interrogatories that seek information at the crux of Plaintiffs’ case. Defendant hides behind baseless objections and assert improper responses that are laden with objects and are not in compliant with the Code of Civil Procedure. </w:t>
      </w:r>
    </w:p>
    <w:p w14:paraId="3D6C7C88" w14:textId="77777777" w:rsidR="00134E36" w:rsidRPr="00134E36" w:rsidRDefault="00134E36" w:rsidP="00134E36">
      <w:pPr>
        <w:spacing w:after="0" w:line="240" w:lineRule="auto"/>
        <w:jc w:val="both"/>
        <w:rPr>
          <w:rFonts w:ascii="Times" w:hAnsi="Times"/>
          <w:sz w:val="24"/>
          <w:szCs w:val="24"/>
        </w:rPr>
      </w:pPr>
    </w:p>
    <w:p w14:paraId="05F254A9" w14:textId="77777777" w:rsidR="00134E36" w:rsidRPr="00134E36" w:rsidRDefault="00134E36" w:rsidP="00134E36">
      <w:pPr>
        <w:spacing w:after="0" w:line="240" w:lineRule="auto"/>
        <w:jc w:val="both"/>
        <w:rPr>
          <w:rFonts w:ascii="Times" w:hAnsi="Times"/>
          <w:sz w:val="24"/>
          <w:szCs w:val="24"/>
        </w:rPr>
      </w:pPr>
    </w:p>
    <w:p w14:paraId="3CA69669"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 xml:space="preserve">The Code requires the following: </w:t>
      </w:r>
    </w:p>
    <w:p w14:paraId="5DE50AC4" w14:textId="77777777" w:rsidR="00134E36" w:rsidRPr="00134E36" w:rsidRDefault="00134E36" w:rsidP="00134E36">
      <w:pPr>
        <w:spacing w:after="0" w:line="240" w:lineRule="auto"/>
        <w:jc w:val="both"/>
        <w:rPr>
          <w:rFonts w:ascii="Times" w:hAnsi="Times"/>
          <w:sz w:val="24"/>
          <w:szCs w:val="24"/>
        </w:rPr>
      </w:pPr>
    </w:p>
    <w:p w14:paraId="36DAEC20"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(a) Each answer in the response to interrogatories shall be as complete and straightforward as the information reasonably available to the responding party permits…</w:t>
      </w:r>
    </w:p>
    <w:p w14:paraId="07A1692F"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(b) If an interrogatory cannot be answered completely, it shall be answered to the extent possible.</w:t>
      </w:r>
    </w:p>
    <w:p w14:paraId="564CF695"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(c) If the responding party does not have personal knowledge sufficient to respond fully to an interrogatory, that party shall so state, but shall make a reasonable and good faith effort to obtain the information by inquiry to other natural persons or organizations, except where the information is equally available to the propounding party.</w:t>
      </w:r>
    </w:p>
    <w:p w14:paraId="619C890B" w14:textId="77777777" w:rsidR="00134E36" w:rsidRPr="00134E36" w:rsidRDefault="00134E36" w:rsidP="00134E36">
      <w:pPr>
        <w:spacing w:after="0" w:line="240" w:lineRule="auto"/>
        <w:jc w:val="both"/>
        <w:rPr>
          <w:rFonts w:ascii="Times" w:hAnsi="Times"/>
          <w:sz w:val="24"/>
          <w:szCs w:val="24"/>
        </w:rPr>
      </w:pPr>
    </w:p>
    <w:p w14:paraId="4D425FCF"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 xml:space="preserve">Code Civ. Proc. § 2030.220; </w:t>
      </w:r>
      <w:r w:rsidRPr="00134E36">
        <w:rPr>
          <w:rFonts w:ascii="Times" w:hAnsi="Times"/>
          <w:i/>
          <w:iCs/>
          <w:sz w:val="24"/>
          <w:szCs w:val="24"/>
        </w:rPr>
        <w:t>See</w:t>
      </w:r>
      <w:r w:rsidRPr="00134E36">
        <w:rPr>
          <w:rFonts w:ascii="Times" w:hAnsi="Times"/>
          <w:sz w:val="24"/>
          <w:szCs w:val="24"/>
        </w:rPr>
        <w:t xml:space="preserve"> e.g., </w:t>
      </w:r>
      <w:r w:rsidRPr="00134E36">
        <w:rPr>
          <w:rFonts w:ascii="Times" w:hAnsi="Times"/>
          <w:i/>
          <w:iCs/>
          <w:sz w:val="24"/>
          <w:szCs w:val="24"/>
        </w:rPr>
        <w:t>Stein v. Hassen</w:t>
      </w:r>
      <w:r w:rsidRPr="00134E36">
        <w:rPr>
          <w:rFonts w:ascii="Times" w:hAnsi="Times"/>
          <w:sz w:val="24"/>
          <w:szCs w:val="24"/>
        </w:rPr>
        <w:t xml:space="preserve">, 34 Cal. App. 3d 294, 109 Cal. </w:t>
      </w:r>
      <w:proofErr w:type="spellStart"/>
      <w:r w:rsidRPr="00134E36">
        <w:rPr>
          <w:rFonts w:ascii="Times" w:hAnsi="Times"/>
          <w:sz w:val="24"/>
          <w:szCs w:val="24"/>
        </w:rPr>
        <w:t>Rptr</w:t>
      </w:r>
      <w:proofErr w:type="spellEnd"/>
      <w:r w:rsidRPr="00134E36">
        <w:rPr>
          <w:rFonts w:ascii="Times" w:hAnsi="Times"/>
          <w:sz w:val="24"/>
          <w:szCs w:val="24"/>
        </w:rPr>
        <w:t>. 321 (2d Dist. 1973) (a motion to compel further responses lies where defendant served insufficient, nonresponsive, evasive answers reflecting lack of good faith; and court granted ultimate sanction of striking pleadings and entering default after defendant failed to respond in good faith after prior court orders to do so.).</w:t>
      </w:r>
    </w:p>
    <w:p w14:paraId="066268DC" w14:textId="77777777" w:rsidR="00134E36" w:rsidRPr="00134E36" w:rsidRDefault="00134E36" w:rsidP="00134E36">
      <w:pPr>
        <w:spacing w:after="0" w:line="240" w:lineRule="auto"/>
        <w:jc w:val="both"/>
        <w:rPr>
          <w:rFonts w:ascii="Times" w:hAnsi="Times"/>
          <w:sz w:val="24"/>
          <w:szCs w:val="24"/>
        </w:rPr>
      </w:pPr>
    </w:p>
    <w:p w14:paraId="085D7F8A"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 xml:space="preserve">For example, in response to Plaintiffs’ Special Interrogatory No. 60, which asks that Defendant IDENFITY all Technical Service Bulletins issued for any and all transmission-related concerns for vehicles with the same year, make, and model as the Subject Vehicle, Defendant responds with baseless objections and claims it does not understand what “transmission related concerns” means. </w:t>
      </w:r>
    </w:p>
    <w:p w14:paraId="05F28CC8" w14:textId="77777777" w:rsidR="00134E36" w:rsidRPr="00134E36" w:rsidRDefault="00134E36" w:rsidP="00134E36">
      <w:pPr>
        <w:spacing w:after="0" w:line="240" w:lineRule="auto"/>
        <w:jc w:val="both"/>
        <w:rPr>
          <w:rFonts w:ascii="Times" w:hAnsi="Times"/>
          <w:sz w:val="24"/>
          <w:szCs w:val="24"/>
        </w:rPr>
      </w:pPr>
    </w:p>
    <w:p w14:paraId="450F783F"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KMA’s complaint that this interrogatory intrudes upon confidential information is</w:t>
      </w:r>
    </w:p>
    <w:p w14:paraId="7D84ED70"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frivolous. Witness information is not confidential. If the opposite were true, defendant has failed</w:t>
      </w:r>
    </w:p>
    <w:p w14:paraId="6F95D8BF"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t0 carry its burden of substantiating any such protection. The party asserting a privilege has the</w:t>
      </w:r>
    </w:p>
    <w:p w14:paraId="62A9095A"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burden 0f substantiating it. Coy V. Superior Court (1962) 58 Ca1.2d, 210, 220;</w:t>
      </w:r>
    </w:p>
    <w:p w14:paraId="09D8A62E"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lastRenderedPageBreak/>
        <w:t>Bridgestone/Firestone, Inc. V. Superior Court (1992) 7 Cal. App. 4th 1384, 1393; Southern Pac. Co. V. Superior Court (1969) 3 Cal. App. 3d 195, 198 [The objector bears the burden 0f establishing,</w:t>
      </w:r>
    </w:p>
    <w:p w14:paraId="576BD613"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With supporting facts, a valid objection] In fact, Code 0f Civil Procedure § 203 1 .240 (c)(l) requires</w:t>
      </w:r>
    </w:p>
    <w:p w14:paraId="5F008CEA"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that that if an objection is based on a claim of privilege or a claim that the information sought is</w:t>
      </w:r>
    </w:p>
    <w:p w14:paraId="332ACA12"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protected work product, the response shall provide sufficient factual information for other parties t0</w:t>
      </w:r>
    </w:p>
    <w:p w14:paraId="0B96DEF2"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evaluate the merits of that claim, including, if necessary, a privilege log. KMA has not provided</w:t>
      </w:r>
    </w:p>
    <w:p w14:paraId="35F3AB8D"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any 0f the requisite factual materials t0 test its claim nor has it provided any privilege 10g.</w:t>
      </w:r>
    </w:p>
    <w:p w14:paraId="60091E8E"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Likewise, KMA has not provided sufficient factual information for other parties t0 evaluate</w:t>
      </w:r>
    </w:p>
    <w:p w14:paraId="58E621B9"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the merits 0f that claim so that the Court can test the claim of privilege. See, Korea Data Systems</w:t>
      </w:r>
    </w:p>
    <w:p w14:paraId="0FA8A4E1"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C0. v. Superior Court (1997) 51 Cal.App.4th 1513, 1516-1517; Blue Ridge Ins. C0. v. Superior</w:t>
      </w:r>
    </w:p>
    <w:p w14:paraId="53CA0A14"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Court (1988) 202 Cal.App.3d 339, 346; Motown Record Corp. v. Superior Court (1984) 155</w:t>
      </w:r>
    </w:p>
    <w:p w14:paraId="08F17FE7"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Cal.App.3d 482, 492. [The purpose 0f providing a specific factual description 0f documents is t0</w:t>
      </w:r>
    </w:p>
    <w:p w14:paraId="33C48434"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permit a judicial evaluation 0f the claim of privilege]</w:t>
      </w:r>
    </w:p>
    <w:p w14:paraId="15109D14" w14:textId="77777777" w:rsidR="00134E36" w:rsidRPr="00134E36" w:rsidRDefault="00134E36" w:rsidP="00134E36">
      <w:pPr>
        <w:spacing w:after="0" w:line="240" w:lineRule="auto"/>
        <w:jc w:val="both"/>
        <w:rPr>
          <w:rFonts w:ascii="Times" w:hAnsi="Times"/>
          <w:sz w:val="24"/>
          <w:szCs w:val="24"/>
        </w:rPr>
      </w:pPr>
    </w:p>
    <w:p w14:paraId="3966C81B" w14:textId="77777777" w:rsidR="00134E36" w:rsidRPr="00134E36" w:rsidRDefault="00134E36" w:rsidP="00134E36">
      <w:pPr>
        <w:spacing w:after="0" w:line="240" w:lineRule="auto"/>
        <w:jc w:val="both"/>
        <w:rPr>
          <w:rFonts w:ascii="Times" w:hAnsi="Times"/>
          <w:b/>
          <w:bCs/>
          <w:sz w:val="24"/>
          <w:szCs w:val="24"/>
          <w:u w:val="single"/>
        </w:rPr>
      </w:pPr>
      <w:r w:rsidRPr="00134E36">
        <w:rPr>
          <w:rFonts w:ascii="Times" w:hAnsi="Times"/>
          <w:sz w:val="24"/>
          <w:szCs w:val="24"/>
        </w:rPr>
        <w:tab/>
      </w:r>
      <w:r w:rsidRPr="00134E36">
        <w:rPr>
          <w:rFonts w:ascii="Times" w:hAnsi="Times"/>
          <w:b/>
          <w:bCs/>
          <w:sz w:val="24"/>
          <w:szCs w:val="24"/>
          <w:u w:val="single"/>
        </w:rPr>
        <w:t>Special Interrogatories 1, 2, 37, 41-55, 59-62</w:t>
      </w:r>
    </w:p>
    <w:p w14:paraId="3717845B" w14:textId="77777777" w:rsidR="00134E36" w:rsidRPr="00134E36" w:rsidRDefault="00134E36" w:rsidP="00134E36">
      <w:pPr>
        <w:spacing w:after="0" w:line="240" w:lineRule="auto"/>
        <w:jc w:val="both"/>
        <w:rPr>
          <w:rFonts w:ascii="Times" w:hAnsi="Times"/>
          <w:b/>
          <w:bCs/>
          <w:sz w:val="24"/>
          <w:szCs w:val="24"/>
          <w:u w:val="single"/>
        </w:rPr>
      </w:pPr>
    </w:p>
    <w:p w14:paraId="1C3D7B04"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 xml:space="preserve">Plaintiffs’ Special Interrogatories seek information regarding the Subject Vehicle purchased by Plaintiffs. How can Defendant claim that the information sought is not relevant or discoverable? Plaintiffs’ requests include the warranty terms that accompanied Plaintiffs’ purchase of the Subject Vehicle, each inspection that Defendant has conducted of the Subject Vehicle, and the amount of money paid by Defendant to its authorized repair facilities for repairs, and Defendant’s evaluation of </w:t>
      </w:r>
      <w:proofErr w:type="gramStart"/>
      <w:r w:rsidRPr="00134E36">
        <w:rPr>
          <w:rFonts w:ascii="Times" w:hAnsi="Times"/>
          <w:sz w:val="24"/>
          <w:szCs w:val="24"/>
        </w:rPr>
        <w:t>Plaintiffs’</w:t>
      </w:r>
      <w:proofErr w:type="gramEnd"/>
      <w:r w:rsidRPr="00134E36">
        <w:rPr>
          <w:rFonts w:ascii="Times" w:hAnsi="Times"/>
          <w:sz w:val="24"/>
          <w:szCs w:val="24"/>
        </w:rPr>
        <w:t xml:space="preserve"> repurchase request, including all communications associated with Defendant’s evaluation of Plaintiffs’ request. Plaintiffs also seek This information is crucial to Plaintiffs’ claims that Defendant violated the Song-Beverly Act, and further responses are necessary. </w:t>
      </w:r>
    </w:p>
    <w:p w14:paraId="7DA507C4" w14:textId="77777777" w:rsidR="00134E36" w:rsidRPr="00134E36" w:rsidRDefault="00134E36" w:rsidP="00134E36">
      <w:pPr>
        <w:spacing w:after="0" w:line="240" w:lineRule="auto"/>
        <w:jc w:val="both"/>
        <w:rPr>
          <w:rFonts w:ascii="Times" w:hAnsi="Times"/>
          <w:sz w:val="24"/>
          <w:szCs w:val="24"/>
        </w:rPr>
      </w:pPr>
    </w:p>
    <w:p w14:paraId="3F27D6B3" w14:textId="77777777" w:rsidR="00134E36" w:rsidRPr="00134E36" w:rsidRDefault="00134E36" w:rsidP="00134E36">
      <w:pPr>
        <w:spacing w:after="0" w:line="240" w:lineRule="auto"/>
        <w:jc w:val="both"/>
        <w:rPr>
          <w:rFonts w:ascii="Times" w:hAnsi="Times"/>
          <w:b/>
          <w:bCs/>
          <w:sz w:val="24"/>
          <w:szCs w:val="24"/>
          <w:u w:val="single"/>
        </w:rPr>
      </w:pPr>
      <w:r w:rsidRPr="00134E36">
        <w:rPr>
          <w:rFonts w:ascii="Times" w:hAnsi="Times"/>
          <w:sz w:val="24"/>
          <w:szCs w:val="24"/>
        </w:rPr>
        <w:tab/>
      </w:r>
      <w:r w:rsidRPr="00134E36">
        <w:rPr>
          <w:rFonts w:ascii="Times" w:hAnsi="Times"/>
          <w:b/>
          <w:bCs/>
          <w:sz w:val="24"/>
          <w:szCs w:val="24"/>
          <w:u w:val="single"/>
        </w:rPr>
        <w:t>Special Interrogatories 3-29, 34-40</w:t>
      </w:r>
    </w:p>
    <w:p w14:paraId="76646B76" w14:textId="77777777" w:rsidR="00134E36" w:rsidRPr="00134E36" w:rsidRDefault="00134E36" w:rsidP="00134E36">
      <w:pPr>
        <w:spacing w:after="0" w:line="240" w:lineRule="auto"/>
        <w:jc w:val="both"/>
        <w:rPr>
          <w:rFonts w:ascii="Times" w:hAnsi="Times"/>
          <w:sz w:val="24"/>
          <w:szCs w:val="24"/>
        </w:rPr>
      </w:pPr>
    </w:p>
    <w:p w14:paraId="057B974A"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 xml:space="preserve">These requests seek information regarding Defendant’s policies and procedures relating to the Song-Beverly Act, including </w:t>
      </w:r>
      <w:proofErr w:type="gramStart"/>
      <w:r w:rsidRPr="00134E36">
        <w:rPr>
          <w:rFonts w:ascii="Times" w:hAnsi="Times"/>
          <w:sz w:val="24"/>
          <w:szCs w:val="24"/>
        </w:rPr>
        <w:t>Plaintiffs’</w:t>
      </w:r>
      <w:proofErr w:type="gramEnd"/>
      <w:r w:rsidRPr="00134E36">
        <w:rPr>
          <w:rFonts w:ascii="Times" w:hAnsi="Times"/>
          <w:sz w:val="24"/>
          <w:szCs w:val="24"/>
        </w:rPr>
        <w:t xml:space="preserve"> repurchase request, and Defendant’s compliance with the requirements of the Song-Beverly Act. Moreover, these requests seek information regarding Defendant’s processes of evaluating a customer complaint according to the Song-Beverly Act, including but not limited to, Defendant’s requirements for eligibility for repurchase, evaluation of substantial impairment to a vehicle’s use, safety, or value, what constitutes a “reasonable number of repair attempts,” and other relevant information. </w:t>
      </w:r>
    </w:p>
    <w:p w14:paraId="7167AA73" w14:textId="77777777" w:rsidR="00134E36" w:rsidRPr="00134E36" w:rsidRDefault="00134E36" w:rsidP="00134E36">
      <w:pPr>
        <w:spacing w:after="0" w:line="240" w:lineRule="auto"/>
        <w:jc w:val="both"/>
        <w:rPr>
          <w:rFonts w:ascii="Times" w:hAnsi="Times"/>
          <w:sz w:val="24"/>
          <w:szCs w:val="24"/>
        </w:rPr>
      </w:pPr>
    </w:p>
    <w:p w14:paraId="3103034D"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 xml:space="preserve">Plaintiffs request also seek information regarding Defendant’s warranty policy and procedures, including Defendant’s determination of which repairs are covered by the terms of its warranty. This establishes whether Defendant was able to repair the defects during the warranty period and whether Defendant denied warranty coverage in bad-faith, which speaks to the willful component for civil penalties. </w:t>
      </w:r>
    </w:p>
    <w:p w14:paraId="5BA26ED2" w14:textId="77777777" w:rsidR="00134E36" w:rsidRPr="00134E36" w:rsidRDefault="00134E36" w:rsidP="00134E36">
      <w:pPr>
        <w:spacing w:after="0" w:line="240" w:lineRule="auto"/>
        <w:jc w:val="both"/>
        <w:rPr>
          <w:rFonts w:ascii="Times" w:hAnsi="Times"/>
          <w:sz w:val="24"/>
          <w:szCs w:val="24"/>
        </w:rPr>
      </w:pPr>
    </w:p>
    <w:p w14:paraId="018263EE"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 xml:space="preserve">Under Song-Beverly, a “manufacturer has an affirmative duty to replace a vehicle or to make restitution to the buyer if the manufacturer is unable to repair the new vehicle after a reasonable </w:t>
      </w:r>
      <w:r w:rsidRPr="00134E36">
        <w:rPr>
          <w:rFonts w:ascii="Times" w:hAnsi="Times"/>
          <w:sz w:val="24"/>
          <w:szCs w:val="24"/>
        </w:rPr>
        <w:lastRenderedPageBreak/>
        <w:t xml:space="preserve">number of repair attempts.” </w:t>
      </w:r>
      <w:proofErr w:type="spellStart"/>
      <w:r w:rsidRPr="00134E36">
        <w:rPr>
          <w:rFonts w:ascii="Times" w:hAnsi="Times"/>
          <w:i/>
          <w:iCs/>
          <w:sz w:val="24"/>
          <w:szCs w:val="24"/>
        </w:rPr>
        <w:t>Lukather</w:t>
      </w:r>
      <w:proofErr w:type="spellEnd"/>
      <w:r w:rsidRPr="00134E36">
        <w:rPr>
          <w:rFonts w:ascii="Times" w:hAnsi="Times"/>
          <w:i/>
          <w:iCs/>
          <w:sz w:val="24"/>
          <w:szCs w:val="24"/>
        </w:rPr>
        <w:t xml:space="preserve"> v. General Motors, LLC</w:t>
      </w:r>
      <w:r w:rsidRPr="00134E36">
        <w:rPr>
          <w:rFonts w:ascii="Times" w:hAnsi="Times"/>
          <w:sz w:val="24"/>
          <w:szCs w:val="24"/>
        </w:rPr>
        <w:t xml:space="preserve">, 181 Cal. App. 4th 1041, 1050 (2010). Willful failure to comply with that duty subjects a manufacturer to a civil penalty of up to twice the </w:t>
      </w:r>
      <w:proofErr w:type="gramStart"/>
      <w:r w:rsidRPr="00134E36">
        <w:rPr>
          <w:rFonts w:ascii="Times" w:hAnsi="Times"/>
          <w:sz w:val="24"/>
          <w:szCs w:val="24"/>
        </w:rPr>
        <w:t>amount</w:t>
      </w:r>
      <w:proofErr w:type="gramEnd"/>
      <w:r w:rsidRPr="00134E36">
        <w:rPr>
          <w:rFonts w:ascii="Times" w:hAnsi="Times"/>
          <w:sz w:val="24"/>
          <w:szCs w:val="24"/>
        </w:rPr>
        <w:t xml:space="preserve"> of actual damages. Civ. Code § 1794(c). </w:t>
      </w:r>
    </w:p>
    <w:p w14:paraId="02405BAF" w14:textId="77777777" w:rsidR="00134E36" w:rsidRPr="00134E36" w:rsidRDefault="00134E36" w:rsidP="00134E36">
      <w:pPr>
        <w:spacing w:after="0" w:line="240" w:lineRule="auto"/>
        <w:jc w:val="both"/>
        <w:rPr>
          <w:rFonts w:ascii="Times" w:hAnsi="Times"/>
          <w:sz w:val="24"/>
          <w:szCs w:val="24"/>
        </w:rPr>
      </w:pPr>
    </w:p>
    <w:p w14:paraId="7A0A0138"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 xml:space="preserve">Accordingly, further Code-compliant responses without boilerplate objections are warranted for the aforementioned requests. </w:t>
      </w:r>
    </w:p>
    <w:p w14:paraId="6CDDB2F8" w14:textId="77777777" w:rsidR="00134E36" w:rsidRPr="00134E36" w:rsidRDefault="00134E36" w:rsidP="00134E36">
      <w:pPr>
        <w:spacing w:after="0" w:line="240" w:lineRule="auto"/>
        <w:jc w:val="both"/>
        <w:rPr>
          <w:rFonts w:ascii="Times" w:hAnsi="Times"/>
          <w:sz w:val="24"/>
          <w:szCs w:val="24"/>
        </w:rPr>
      </w:pPr>
    </w:p>
    <w:p w14:paraId="1027BBB9" w14:textId="77777777" w:rsidR="00134E36" w:rsidRPr="00134E36" w:rsidRDefault="00134E36" w:rsidP="00134E36">
      <w:pPr>
        <w:spacing w:after="0" w:line="240" w:lineRule="auto"/>
        <w:jc w:val="both"/>
        <w:rPr>
          <w:rFonts w:ascii="Times" w:hAnsi="Times"/>
          <w:b/>
          <w:bCs/>
          <w:sz w:val="24"/>
          <w:szCs w:val="24"/>
          <w:u w:val="single"/>
        </w:rPr>
      </w:pPr>
      <w:r w:rsidRPr="00134E36">
        <w:rPr>
          <w:rFonts w:ascii="Times" w:hAnsi="Times"/>
          <w:sz w:val="24"/>
          <w:szCs w:val="24"/>
        </w:rPr>
        <w:tab/>
      </w:r>
      <w:r w:rsidRPr="00134E36">
        <w:rPr>
          <w:rFonts w:ascii="Times" w:hAnsi="Times"/>
          <w:b/>
          <w:bCs/>
          <w:sz w:val="24"/>
          <w:szCs w:val="24"/>
          <w:u w:val="single"/>
        </w:rPr>
        <w:t>Special Interrogatories 30-33</w:t>
      </w:r>
    </w:p>
    <w:p w14:paraId="5F5963C6" w14:textId="77777777" w:rsidR="00134E36" w:rsidRPr="00134E36" w:rsidRDefault="00134E36" w:rsidP="00134E36">
      <w:pPr>
        <w:spacing w:after="0" w:line="240" w:lineRule="auto"/>
        <w:jc w:val="both"/>
        <w:rPr>
          <w:rFonts w:ascii="Times" w:hAnsi="Times"/>
          <w:sz w:val="24"/>
          <w:szCs w:val="24"/>
        </w:rPr>
      </w:pPr>
    </w:p>
    <w:p w14:paraId="03558C48"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 xml:space="preserve">These requests seek information regarding Defendant’s knowledge of the prevalence of the same/similar defects in vehicles of the same year, make, and model as the Subject Vehicle. Plaintiffs request information regarding statistics of vehicles other vehicles repurchased by Defendant, other customer complaints regarding similar issues. </w:t>
      </w:r>
      <w:r w:rsidRPr="00134E36">
        <w:rPr>
          <w:rFonts w:ascii="Times" w:hAnsi="Times"/>
          <w:i/>
          <w:iCs/>
          <w:sz w:val="24"/>
          <w:szCs w:val="24"/>
        </w:rPr>
        <w:t xml:space="preserve">See </w:t>
      </w:r>
      <w:proofErr w:type="spellStart"/>
      <w:r w:rsidRPr="00134E36">
        <w:rPr>
          <w:rFonts w:ascii="Times" w:hAnsi="Times"/>
          <w:i/>
          <w:iCs/>
          <w:sz w:val="24"/>
          <w:szCs w:val="24"/>
        </w:rPr>
        <w:t>Krotin</w:t>
      </w:r>
      <w:proofErr w:type="spellEnd"/>
      <w:r w:rsidRPr="00134E36">
        <w:rPr>
          <w:rFonts w:ascii="Times" w:hAnsi="Times"/>
          <w:i/>
          <w:iCs/>
          <w:sz w:val="24"/>
          <w:szCs w:val="24"/>
        </w:rPr>
        <w:t xml:space="preserve"> v. Porsche</w:t>
      </w:r>
      <w:r w:rsidRPr="00134E36">
        <w:rPr>
          <w:rFonts w:ascii="Times" w:hAnsi="Times"/>
          <w:sz w:val="24"/>
          <w:szCs w:val="24"/>
        </w:rPr>
        <w:t xml:space="preserve">, 38 Cal.App.4th 294, 303 (1995). And </w:t>
      </w:r>
      <w:r w:rsidRPr="00134E36">
        <w:rPr>
          <w:rFonts w:ascii="Times" w:hAnsi="Times"/>
          <w:i/>
          <w:iCs/>
          <w:sz w:val="24"/>
          <w:szCs w:val="24"/>
        </w:rPr>
        <w:t>see, Jensen v. BMW of N. Am, LLC</w:t>
      </w:r>
      <w:r w:rsidRPr="00134E36">
        <w:rPr>
          <w:rFonts w:ascii="Times" w:hAnsi="Times"/>
          <w:sz w:val="24"/>
          <w:szCs w:val="24"/>
        </w:rPr>
        <w:t>, 35 Cal. App. 4th 112, 136 (1995) (in assessing Whether Violation is willful, the jury is entitled to consider, among other things, whether “the manufacturer knew the vehicle had not been repaired Within reasonable period 0r after reasonable number 0f attempts.”).</w:t>
      </w:r>
    </w:p>
    <w:p w14:paraId="03F36879" w14:textId="77777777" w:rsidR="00134E36" w:rsidRPr="00134E36" w:rsidRDefault="00134E36" w:rsidP="00134E36">
      <w:pPr>
        <w:spacing w:after="0" w:line="240" w:lineRule="auto"/>
        <w:jc w:val="both"/>
        <w:rPr>
          <w:rFonts w:ascii="Times" w:hAnsi="Times"/>
          <w:sz w:val="24"/>
          <w:szCs w:val="24"/>
        </w:rPr>
      </w:pPr>
    </w:p>
    <w:p w14:paraId="2BFB93EB"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 xml:space="preserve">For example, in response to Plaintiffs’ Special Interrogatory No. 60, which asks that Defendant IDENFITY all Technical Service Bulletins issued for any and all transmission-related concerns for vehicles with the same year, make, and model as the Subject Vehicle, Defendant responds with baseless objections and claims it does not understand what “transmission related concerns” means. </w:t>
      </w:r>
    </w:p>
    <w:p w14:paraId="6D666D6B" w14:textId="77777777" w:rsidR="00134E36" w:rsidRPr="00134E36" w:rsidRDefault="00134E36" w:rsidP="00134E36">
      <w:pPr>
        <w:spacing w:after="0" w:line="240" w:lineRule="auto"/>
        <w:jc w:val="both"/>
        <w:rPr>
          <w:rFonts w:ascii="Times" w:hAnsi="Times"/>
          <w:sz w:val="24"/>
          <w:szCs w:val="24"/>
        </w:rPr>
      </w:pPr>
    </w:p>
    <w:p w14:paraId="0D8093EA"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 xml:space="preserve">Please advise on Defendant’s response to the instant correspondence no later </w:t>
      </w:r>
      <w:r w:rsidRPr="00134E36">
        <w:rPr>
          <w:rFonts w:ascii="Times" w:hAnsi="Times"/>
          <w:b/>
          <w:bCs/>
          <w:sz w:val="24"/>
          <w:szCs w:val="24"/>
          <w:u w:val="single"/>
        </w:rPr>
        <w:t>December 6, 2021</w:t>
      </w:r>
      <w:r w:rsidRPr="00134E36">
        <w:rPr>
          <w:rFonts w:ascii="Times" w:hAnsi="Times"/>
          <w:sz w:val="24"/>
          <w:szCs w:val="24"/>
        </w:rPr>
        <w:t>. If Defendant is willing to supplement its responses, Plaintiffs are willing to allow Defendant time to do so in exchange to an extension for Plaintiffs to file a motion to compel, should one be necessary. If you have any questions, please do not hesitate to contact us at the above phone number.  </w:t>
      </w:r>
    </w:p>
    <w:p w14:paraId="18B73D2B" w14:textId="77777777" w:rsidR="00134E36" w:rsidRPr="00134E36" w:rsidRDefault="00134E36" w:rsidP="00134E36">
      <w:pPr>
        <w:spacing w:after="0" w:line="240" w:lineRule="auto"/>
        <w:jc w:val="both"/>
        <w:rPr>
          <w:rFonts w:ascii="Times" w:hAnsi="Times"/>
          <w:sz w:val="24"/>
          <w:szCs w:val="24"/>
        </w:rPr>
      </w:pPr>
    </w:p>
    <w:p w14:paraId="48B26733" w14:textId="77777777" w:rsidR="00134E36" w:rsidRPr="00134E36" w:rsidRDefault="00134E36" w:rsidP="00134E36">
      <w:pPr>
        <w:spacing w:after="0" w:line="240" w:lineRule="auto"/>
        <w:jc w:val="both"/>
        <w:rPr>
          <w:rFonts w:ascii="Times" w:hAnsi="Times"/>
          <w:sz w:val="24"/>
          <w:szCs w:val="24"/>
        </w:rPr>
      </w:pPr>
    </w:p>
    <w:p w14:paraId="7F2DDB6D"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 xml:space="preserve">                                                                        Sincerely,</w:t>
      </w:r>
    </w:p>
    <w:p w14:paraId="1D47E4E1" w14:textId="77777777" w:rsidR="00134E36" w:rsidRPr="00134E36" w:rsidRDefault="00134E36" w:rsidP="00134E36">
      <w:pPr>
        <w:spacing w:after="0" w:line="240" w:lineRule="auto"/>
        <w:jc w:val="both"/>
        <w:rPr>
          <w:rFonts w:ascii="Times" w:hAnsi="Times"/>
          <w:sz w:val="24"/>
          <w:szCs w:val="24"/>
        </w:rPr>
      </w:pPr>
      <w:r w:rsidRPr="00134E36">
        <w:rPr>
          <w:rFonts w:ascii="Times" w:hAnsi="Times"/>
          <w:noProof/>
          <w:sz w:val="24"/>
          <w:szCs w:val="24"/>
        </w:rPr>
        <w:drawing>
          <wp:anchor distT="0" distB="0" distL="114300" distR="114300" simplePos="0" relativeHeight="251661312" behindDoc="1" locked="0" layoutInCell="1" allowOverlap="1" wp14:anchorId="293A1300" wp14:editId="33F7BD2B">
            <wp:simplePos x="0" y="0"/>
            <wp:positionH relativeFrom="column">
              <wp:posOffset>2899612</wp:posOffset>
            </wp:positionH>
            <wp:positionV relativeFrom="paragraph">
              <wp:posOffset>118602</wp:posOffset>
            </wp:positionV>
            <wp:extent cx="2171700" cy="1003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Acobson Signature.jpg"/>
                    <pic:cNvPicPr/>
                  </pic:nvPicPr>
                  <pic:blipFill>
                    <a:blip r:embed="rId6">
                      <a:extLst>
                        <a:ext uri="{28A0092B-C50C-407E-A947-70E740481C1C}">
                          <a14:useLocalDpi xmlns:a14="http://schemas.microsoft.com/office/drawing/2010/main" val="0"/>
                        </a:ext>
                      </a:extLst>
                    </a:blip>
                    <a:stretch>
                      <a:fillRect/>
                    </a:stretch>
                  </pic:blipFill>
                  <pic:spPr>
                    <a:xfrm>
                      <a:off x="0" y="0"/>
                      <a:ext cx="2171700" cy="1003300"/>
                    </a:xfrm>
                    <a:prstGeom prst="rect">
                      <a:avLst/>
                    </a:prstGeom>
                  </pic:spPr>
                </pic:pic>
              </a:graphicData>
            </a:graphic>
            <wp14:sizeRelH relativeFrom="page">
              <wp14:pctWidth>0</wp14:pctWidth>
            </wp14:sizeRelH>
            <wp14:sizeRelV relativeFrom="page">
              <wp14:pctHeight>0</wp14:pctHeight>
            </wp14:sizeRelV>
          </wp:anchor>
        </w:drawing>
      </w:r>
      <w:r w:rsidRPr="00134E36">
        <w:rPr>
          <w:rFonts w:ascii="Times" w:hAnsi="Times"/>
          <w:sz w:val="24"/>
          <w:szCs w:val="24"/>
        </w:rPr>
        <w:tab/>
        <w:t xml:space="preserve">                                                             </w:t>
      </w:r>
      <w:r w:rsidRPr="00134E36">
        <w:rPr>
          <w:rFonts w:ascii="Times" w:hAnsi="Times"/>
          <w:b/>
          <w:bCs/>
          <w:sz w:val="24"/>
          <w:szCs w:val="24"/>
        </w:rPr>
        <w:t xml:space="preserve">Quill &amp; Arrow LLP </w:t>
      </w:r>
    </w:p>
    <w:p w14:paraId="6A243E03" w14:textId="77777777" w:rsidR="00134E36" w:rsidRPr="00134E36" w:rsidRDefault="00134E36" w:rsidP="00134E36">
      <w:pPr>
        <w:spacing w:after="0" w:line="240" w:lineRule="auto"/>
        <w:jc w:val="both"/>
        <w:rPr>
          <w:rFonts w:ascii="Times" w:hAnsi="Times"/>
          <w:sz w:val="24"/>
          <w:szCs w:val="24"/>
        </w:rPr>
      </w:pPr>
    </w:p>
    <w:p w14:paraId="0B6BF4BA" w14:textId="77777777" w:rsidR="00134E36" w:rsidRPr="00134E36" w:rsidRDefault="00134E36" w:rsidP="00134E36">
      <w:pPr>
        <w:spacing w:after="0" w:line="240" w:lineRule="auto"/>
        <w:jc w:val="both"/>
        <w:rPr>
          <w:rFonts w:ascii="Times" w:hAnsi="Times"/>
          <w:sz w:val="24"/>
          <w:szCs w:val="24"/>
        </w:rPr>
      </w:pPr>
    </w:p>
    <w:p w14:paraId="47982BCF"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ab/>
        <w:t xml:space="preserve">                                                                  ________________________</w:t>
      </w:r>
      <w:r w:rsidRPr="00134E36">
        <w:rPr>
          <w:rFonts w:ascii="Times" w:hAnsi="Times"/>
          <w:sz w:val="24"/>
          <w:szCs w:val="24"/>
        </w:rPr>
        <w:tab/>
      </w:r>
      <w:r w:rsidRPr="00134E36">
        <w:rPr>
          <w:rFonts w:ascii="Times" w:hAnsi="Times"/>
          <w:sz w:val="24"/>
          <w:szCs w:val="24"/>
        </w:rPr>
        <w:tab/>
      </w:r>
    </w:p>
    <w:p w14:paraId="33D56C6E" w14:textId="77777777" w:rsidR="00134E36" w:rsidRPr="00134E36" w:rsidRDefault="00134E36" w:rsidP="00134E36">
      <w:pPr>
        <w:spacing w:after="0" w:line="240" w:lineRule="auto"/>
        <w:jc w:val="both"/>
        <w:rPr>
          <w:rFonts w:ascii="Times" w:hAnsi="Times"/>
          <w:sz w:val="24"/>
          <w:szCs w:val="24"/>
        </w:rPr>
      </w:pPr>
      <w:r w:rsidRPr="00134E36">
        <w:rPr>
          <w:rFonts w:ascii="Times" w:hAnsi="Times"/>
          <w:sz w:val="24"/>
          <w:szCs w:val="24"/>
        </w:rPr>
        <w:t xml:space="preserve">                                                                               Kevin Y. Jacobson, Esq.</w:t>
      </w:r>
    </w:p>
    <w:p w14:paraId="1DAD95B3" w14:textId="77777777" w:rsidR="00134E36" w:rsidRPr="00134E36" w:rsidRDefault="00134E36" w:rsidP="00134E36">
      <w:pPr>
        <w:spacing w:after="0" w:line="240" w:lineRule="auto"/>
        <w:jc w:val="both"/>
        <w:rPr>
          <w:rFonts w:ascii="Times" w:hAnsi="Times"/>
          <w:b/>
          <w:bCs/>
          <w:sz w:val="24"/>
          <w:szCs w:val="24"/>
        </w:rPr>
      </w:pPr>
    </w:p>
    <w:p w14:paraId="2754B06C" w14:textId="77777777" w:rsidR="00134E36" w:rsidRPr="00134E36" w:rsidRDefault="00134E36" w:rsidP="00134E36">
      <w:pPr>
        <w:spacing w:after="0" w:line="240" w:lineRule="auto"/>
        <w:jc w:val="both"/>
        <w:rPr>
          <w:rFonts w:ascii="Times" w:hAnsi="Times"/>
          <w:b/>
          <w:bCs/>
          <w:sz w:val="24"/>
          <w:szCs w:val="24"/>
        </w:rPr>
      </w:pPr>
    </w:p>
    <w:p w14:paraId="7700E224" w14:textId="77777777" w:rsidR="00134E36" w:rsidRPr="00134E36" w:rsidRDefault="00134E36" w:rsidP="00134E36">
      <w:pPr>
        <w:spacing w:after="0" w:line="240" w:lineRule="auto"/>
        <w:jc w:val="both"/>
        <w:rPr>
          <w:rFonts w:ascii="Times" w:hAnsi="Times"/>
          <w:b/>
          <w:bCs/>
          <w:sz w:val="24"/>
          <w:szCs w:val="24"/>
        </w:rPr>
      </w:pPr>
    </w:p>
    <w:p w14:paraId="77F08725" w14:textId="77777777" w:rsidR="00134E36" w:rsidRPr="00134E36" w:rsidRDefault="00134E36" w:rsidP="00134E36">
      <w:pPr>
        <w:spacing w:after="0" w:line="240" w:lineRule="auto"/>
        <w:jc w:val="both"/>
        <w:rPr>
          <w:rFonts w:ascii="Times" w:hAnsi="Times"/>
          <w:b/>
          <w:bCs/>
          <w:sz w:val="24"/>
          <w:szCs w:val="24"/>
        </w:rPr>
      </w:pPr>
    </w:p>
    <w:p w14:paraId="617D913F" w14:textId="77777777" w:rsidR="00134E36" w:rsidRPr="00134E36" w:rsidRDefault="00134E36" w:rsidP="00134E36">
      <w:pPr>
        <w:spacing w:after="0" w:line="240" w:lineRule="auto"/>
        <w:jc w:val="both"/>
        <w:rPr>
          <w:rFonts w:ascii="Times" w:hAnsi="Times"/>
          <w:b/>
          <w:bCs/>
          <w:sz w:val="24"/>
          <w:szCs w:val="24"/>
        </w:rPr>
      </w:pPr>
    </w:p>
    <w:p w14:paraId="61B2EDE1" w14:textId="77777777" w:rsidR="00134E36" w:rsidRPr="004D2BA7" w:rsidRDefault="00134E36" w:rsidP="004D2BA7">
      <w:pPr>
        <w:spacing w:after="0" w:line="240" w:lineRule="auto"/>
        <w:jc w:val="both"/>
        <w:rPr>
          <w:rFonts w:ascii="Times" w:hAnsi="Times"/>
          <w:sz w:val="24"/>
          <w:szCs w:val="24"/>
        </w:rPr>
      </w:pPr>
    </w:p>
    <w:p w14:paraId="3F473427" w14:textId="77777777" w:rsidR="004D2BA7" w:rsidRDefault="004D2BA7" w:rsidP="00EA28E9">
      <w:pPr>
        <w:spacing w:after="0" w:line="240" w:lineRule="auto"/>
        <w:jc w:val="both"/>
        <w:rPr>
          <w:rFonts w:ascii="Times" w:hAnsi="Times"/>
          <w:sz w:val="24"/>
          <w:szCs w:val="24"/>
        </w:rPr>
      </w:pPr>
    </w:p>
    <w:p w14:paraId="4152A9B1" w14:textId="1B44D2EE" w:rsidR="008F01D7" w:rsidRDefault="008F01D7" w:rsidP="00822E17">
      <w:pPr>
        <w:spacing w:after="0" w:line="240" w:lineRule="auto"/>
        <w:rPr>
          <w:rFonts w:ascii="Times" w:hAnsi="Times"/>
          <w:sz w:val="24"/>
          <w:szCs w:val="24"/>
        </w:rPr>
      </w:pPr>
    </w:p>
    <w:p w14:paraId="268298D5" w14:textId="77777777" w:rsidR="00EA28E9" w:rsidRDefault="00EA28E9" w:rsidP="00822E17">
      <w:pPr>
        <w:spacing w:after="0" w:line="240" w:lineRule="auto"/>
        <w:rPr>
          <w:rFonts w:ascii="Times" w:hAnsi="Times"/>
          <w:b/>
          <w:bCs/>
          <w:sz w:val="24"/>
          <w:szCs w:val="24"/>
          <w:u w:val="single"/>
        </w:rPr>
      </w:pPr>
    </w:p>
    <w:p w14:paraId="1CFE80B6" w14:textId="42E1201A" w:rsidR="00D33E17" w:rsidRPr="00134E36" w:rsidRDefault="00D33E17" w:rsidP="00134E36">
      <w:pPr>
        <w:spacing w:after="0" w:line="240" w:lineRule="auto"/>
        <w:rPr>
          <w:rFonts w:ascii="Times" w:hAnsi="Times"/>
          <w:sz w:val="24"/>
          <w:szCs w:val="24"/>
        </w:rPr>
      </w:pPr>
    </w:p>
    <w:sectPr w:rsidR="00D33E17" w:rsidRPr="00134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B23ED"/>
    <w:multiLevelType w:val="hybridMultilevel"/>
    <w:tmpl w:val="8FFC2A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C34772"/>
    <w:multiLevelType w:val="hybridMultilevel"/>
    <w:tmpl w:val="95A68FD2"/>
    <w:lvl w:ilvl="0" w:tplc="AE58E1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1929AC"/>
    <w:multiLevelType w:val="hybridMultilevel"/>
    <w:tmpl w:val="B3C62442"/>
    <w:lvl w:ilvl="0" w:tplc="F29E3BF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0236AB"/>
    <w:multiLevelType w:val="hybridMultilevel"/>
    <w:tmpl w:val="3E56E46A"/>
    <w:lvl w:ilvl="0" w:tplc="8AF44388">
      <w:start w:val="6"/>
      <w:numFmt w:val="bullet"/>
      <w:lvlText w:val="-"/>
      <w:lvlJc w:val="left"/>
      <w:pPr>
        <w:ind w:left="720" w:hanging="360"/>
      </w:pPr>
      <w:rPr>
        <w:rFonts w:ascii="Times" w:eastAsiaTheme="minorHAnsi" w:hAnsi="Time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8418607">
    <w:abstractNumId w:val="1"/>
  </w:num>
  <w:num w:numId="2" w16cid:durableId="66656350">
    <w:abstractNumId w:val="3"/>
  </w:num>
  <w:num w:numId="3" w16cid:durableId="740064016">
    <w:abstractNumId w:val="2"/>
  </w:num>
  <w:num w:numId="4" w16cid:durableId="1382830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750"/>
    <w:rsid w:val="0004775D"/>
    <w:rsid w:val="00050A24"/>
    <w:rsid w:val="000C59A6"/>
    <w:rsid w:val="00114C46"/>
    <w:rsid w:val="00134E36"/>
    <w:rsid w:val="001576B8"/>
    <w:rsid w:val="0016649A"/>
    <w:rsid w:val="00227201"/>
    <w:rsid w:val="00357CA0"/>
    <w:rsid w:val="003A1139"/>
    <w:rsid w:val="0045710D"/>
    <w:rsid w:val="004D2BA7"/>
    <w:rsid w:val="00503AC1"/>
    <w:rsid w:val="00550ECA"/>
    <w:rsid w:val="00644FBA"/>
    <w:rsid w:val="007D1750"/>
    <w:rsid w:val="00822E17"/>
    <w:rsid w:val="00893BD3"/>
    <w:rsid w:val="008F01D7"/>
    <w:rsid w:val="009F3B2D"/>
    <w:rsid w:val="00AE05AD"/>
    <w:rsid w:val="00D13A57"/>
    <w:rsid w:val="00D33E17"/>
    <w:rsid w:val="00D67761"/>
    <w:rsid w:val="00D87E80"/>
    <w:rsid w:val="00D91CFA"/>
    <w:rsid w:val="00EA28E9"/>
    <w:rsid w:val="00EA3E92"/>
    <w:rsid w:val="00ED57DB"/>
    <w:rsid w:val="00FA4057"/>
    <w:rsid w:val="00FF3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F0768"/>
  <w15:chartTrackingRefBased/>
  <w15:docId w15:val="{992775AE-BBFE-4A70-9A51-E044D9A7E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7DB"/>
    <w:pPr>
      <w:ind w:left="720"/>
      <w:contextualSpacing/>
    </w:pPr>
  </w:style>
  <w:style w:type="character" w:styleId="Hyperlink">
    <w:name w:val="Hyperlink"/>
    <w:basedOn w:val="DefaultParagraphFont"/>
    <w:uiPriority w:val="99"/>
    <w:unhideWhenUsed/>
    <w:rsid w:val="00822E17"/>
    <w:rPr>
      <w:color w:val="0563C1" w:themeColor="hyperlink"/>
      <w:u w:val="single"/>
    </w:rPr>
  </w:style>
  <w:style w:type="character" w:styleId="UnresolvedMention">
    <w:name w:val="Unresolved Mention"/>
    <w:basedOn w:val="DefaultParagraphFont"/>
    <w:uiPriority w:val="99"/>
    <w:semiHidden/>
    <w:unhideWhenUsed/>
    <w:rsid w:val="00822E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5724</Words>
  <Characters>32630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Abalkhad</dc:creator>
  <cp:keywords/>
  <dc:description/>
  <cp:lastModifiedBy>Cody Spencer</cp:lastModifiedBy>
  <cp:revision>6</cp:revision>
  <cp:lastPrinted>2021-11-24T17:01:00Z</cp:lastPrinted>
  <dcterms:created xsi:type="dcterms:W3CDTF">2021-12-02T17:31:00Z</dcterms:created>
  <dcterms:modified xsi:type="dcterms:W3CDTF">2024-02-27T16:15:00Z</dcterms:modified>
</cp:coreProperties>
</file>