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PECI Type of Transfer – Possible Solutions</w:t>
      </w:r>
    </w:p>
    <w:p>
      <w:pPr/>
      <w:r>
        <w:t xml:space="preserve">Oct 26, 2026</w:t>
      </w:r>
      <w:r>
        <w:t xml:space="preserve"> · </w:t>
      </w:r>
      <w:r>
        <w:t xml:space="preserve">@Sarath Kumar Prabhakaran</w:t>
      </w:r>
    </w:p>
    <w:p>
      <w:pPr>
        <w:pStyle w:val="Heading2"/>
      </w:pPr>
      <w:r>
        <w:t xml:space="preserve">The problem</w:t>
      </w:r>
    </w:p>
    <w:p>
      <w:pPr/>
      <w:r>
        <w:t xml:space="preserve">In the tenant, the Type_Of_Transfer calculated field returns the right value. In the PECI output to ADP it does not. Service_Date_01 has correct logic and outputs correctly. Both fields have a performance problem.</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Area</w:t>
            </w:r>
          </w:p>
        </w:tc>
        <w:tc>
          <w:tcPr>
            <w:tcW w:w="4920" w:type="dxa"/>
            <w:shd w:val="clear" w:color="auto" w:fill="F2F2F2"/>
          </w:tcPr>
          <w:p>
            <w:pPr/>
            <w:r>
              <w:t xml:space="preserve">What we see</w:t>
            </w:r>
          </w:p>
        </w:tc>
      </w:tr>
      <w:tr>
        <w:tc>
          <w:tcPr>
            <w:tcW w:w="4440" w:type="dxa"/>
          </w:tcPr>
          <w:p>
            <w:pPr/>
            <w:r>
              <w:t xml:space="preserve">PCO events (individual runs)</w:t>
            </w:r>
          </w:p>
        </w:tc>
        <w:tc>
          <w:tcPr>
            <w:tcW w:w="4920" w:type="dxa"/>
          </w:tcPr>
          <w:p>
            <w:pPr/>
            <w:r>
              <w:t xml:space="preserve">The report shows Permanent IA, but PECI leaves Type_Of_Transfer out of the XML.</w:t>
            </w:r>
          </w:p>
        </w:tc>
      </w:tr>
      <w:tr>
        <w:tc>
          <w:tcPr>
            <w:tcW w:w="4440" w:type="dxa"/>
          </w:tcPr>
          <w:p>
            <w:pPr/>
            <w:r>
              <w:t xml:space="preserve">PCO right after return from an international assignment</w:t>
            </w:r>
          </w:p>
        </w:tc>
        <w:tc>
          <w:tcPr>
            <w:tcW w:w="4920" w:type="dxa"/>
          </w:tcPr>
          <w:p>
            <w:pPr/>
            <w:r>
              <w:t xml:space="preserve">PECI sends 2 events: a PCO without Type of Transfer, then a DTA with Type of Transfer = Permanent IA.</w:t>
            </w:r>
          </w:p>
        </w:tc>
      </w:tr>
      <w:tr>
        <w:tc>
          <w:tcPr>
            <w:tcW w:w="4440" w:type="dxa"/>
          </w:tcPr>
          <w:p>
            <w:pPr/>
            <w:r>
              <w:t xml:space="preserve">First Primary run / pay-period runs (e.g. Parallel Run 2)</w:t>
            </w:r>
          </w:p>
        </w:tc>
        <w:tc>
          <w:tcPr>
            <w:tcW w:w="4920" w:type="dxa"/>
          </w:tcPr>
          <w:p>
            <w:pPr/>
            <w:r>
              <w:t xml:space="preserve">Type_Of_Transfer is sent for almost every employee in the DTA sequence, with the value NA.</w:t>
            </w:r>
          </w:p>
        </w:tc>
      </w:tr>
      <w:tr>
        <w:tc>
          <w:tcPr>
            <w:tcW w:w="4440" w:type="dxa"/>
          </w:tcPr>
          <w:p>
            <w:pPr/>
            <w:r>
              <w:t xml:space="preserve">PCI events</w:t>
            </w:r>
          </w:p>
        </w:tc>
        <w:tc>
          <w:tcPr>
            <w:tcW w:w="4920" w:type="dxa"/>
          </w:tcPr>
          <w:p>
            <w:pPr/>
            <w:r>
              <w:t xml:space="preserve">Results vary: some runs return Permanent IA, others return NA.</w:t>
            </w:r>
          </w:p>
        </w:tc>
      </w:tr>
      <w:tr>
        <w:tc>
          <w:tcPr>
            <w:tcW w:w="4440" w:type="dxa"/>
          </w:tcPr>
          <w:p>
            <w:pPr/>
            <w:r>
              <w:t xml:space="preserve">Performance (both fields)</w:t>
            </w:r>
          </w:p>
        </w:tc>
        <w:tc>
          <w:tcPr>
            <w:tcW w:w="4920" w:type="dxa"/>
          </w:tcPr>
          <w:p>
            <w:pPr/>
            <w:r>
              <w:t xml:space="preserve">Both fields use Worker History / Worker Events – Completed, which perform poorly inside PECI calculated fields.</w:t>
            </w:r>
          </w:p>
        </w:tc>
      </w:tr>
    </w:tbl>
    <w:p>
      <w:pPr/>
      <w:r>
        <w:t xml:space="preserve">Rebuilding the calculated field on the Change Job BP did not fix the PECI behavior. Workday's performance recommendations are being tested, and each test must also check that the output stays the same.</w:t>
      </w:r>
    </w:p>
    <w:p>
      <w:pPr>
        <w:pStyle w:val="Heading2"/>
      </w:pPr>
      <w:r>
        <w:t xml:space="preserve">Solution options</w:t>
      </w:r>
    </w:p>
    <w:tbl>
      <w:tblPr>
        <w:tblStyle w:val="TableGrid"/>
        <w:tblW w:w="0" w:type="auto"/>
        <w:tblLayout w:type="fixed"/>
        <w:tblLook w:val="04A0" w:firstRow="1" w:lastRow="0" w:firstColumn="0" w:lastColumn="0" w:noHBand="0" w:noVBand="1"/>
      </w:tblPr>
      <w:tblGrid>
        <w:gridCol w:w="1826"/>
        <w:gridCol w:w="2804"/>
        <w:gridCol w:w="1988"/>
        <w:gridCol w:w="2742"/>
      </w:tblGrid>
      <w:tr>
        <w:trPr>
          <w:tblHeader/>
        </w:trPr>
        <w:tc>
          <w:tcPr>
            <w:tcW w:w="1826" w:type="dxa"/>
            <w:shd w:val="clear" w:color="auto" w:fill="F2F2F2"/>
          </w:tcPr>
          <w:p>
            <w:pPr/>
            <w:r>
              <w:t xml:space="preserve">Option</w:t>
            </w:r>
          </w:p>
        </w:tc>
        <w:tc>
          <w:tcPr>
            <w:tcW w:w="2804" w:type="dxa"/>
            <w:shd w:val="clear" w:color="auto" w:fill="F2F2F2"/>
          </w:tcPr>
          <w:p>
            <w:pPr/>
            <w:r>
              <w:t xml:space="preserve">How it works</w:t>
            </w:r>
          </w:p>
        </w:tc>
        <w:tc>
          <w:tcPr>
            <w:tcW w:w="1988" w:type="dxa"/>
            <w:shd w:val="clear" w:color="auto" w:fill="F2F2F2"/>
          </w:tcPr>
          <w:p>
            <w:pPr/>
            <w:r>
              <w:t xml:space="preserve">Pros</w:t>
            </w:r>
          </w:p>
        </w:tc>
        <w:tc>
          <w:tcPr>
            <w:tcW w:w="2742" w:type="dxa"/>
            <w:shd w:val="clear" w:color="auto" w:fill="F2F2F2"/>
          </w:tcPr>
          <w:p>
            <w:pPr/>
            <w:r>
              <w:t xml:space="preserve">Cons</w:t>
            </w:r>
          </w:p>
        </w:tc>
      </w:tr>
      <w:tr>
        <w:tc>
          <w:tcPr>
            <w:tcW w:w="1826" w:type="dxa"/>
          </w:tcPr>
          <w:p>
            <w:pPr/>
            <w:r>
              <w:t xml:space="preserve">1. Document Transformation before delivery to ADP</w:t>
            </w:r>
          </w:p>
        </w:tc>
        <w:tc>
          <w:tcPr>
            <w:tcW w:w="2804" w:type="dxa"/>
          </w:tcPr>
          <w:p>
            <w:pPr/>
            <w:r>
              <w:t xml:space="preserve">A transformation step runs on the PECI XML before it goes to ADP. It derives Type of Transfer and Localization_Date from event data there, not in the calculated field.</w:t>
            </w:r>
          </w:p>
        </w:tc>
        <w:tc>
          <w:tcPr>
            <w:tcW w:w="1988" w:type="dxa"/>
          </w:tcPr>
          <w:p>
            <w:pPr/>
            <w:r>
              <w:t xml:space="preserve">Removes the slow Worker History lookups from PECI. Fixes the issue at its source. Gives the same behavior on individual and full runs.</w:t>
            </w:r>
          </w:p>
        </w:tc>
        <w:tc>
          <w:tcPr>
            <w:tcW w:w="2742" w:type="dxa"/>
          </w:tcPr>
          <w:p>
            <w:pPr/>
            <w:r>
              <w:t xml:space="preserve">Needs XSLT build and testing. Adds one more component to maintain. Logic must be agreed for the PCO + DTA split.</w:t>
            </w:r>
          </w:p>
        </w:tc>
      </w:tr>
      <w:tr>
        <w:tc>
          <w:tcPr>
            <w:tcW w:w="1826" w:type="dxa"/>
          </w:tcPr>
          <w:p>
            <w:pPr/>
            <w:r>
              <w:t xml:space="preserve">2. G2 file load for impacted records</w:t>
            </w:r>
          </w:p>
        </w:tc>
        <w:tc>
          <w:tcPr>
            <w:tcW w:w="2804" w:type="dxa"/>
          </w:tcPr>
          <w:p>
            <w:pPr/>
            <w:r>
              <w:t xml:space="preserve">PECI goes live without Type of Transfer and Localization Date. A separate G2 file sends these values for the affected records.</w:t>
            </w:r>
          </w:p>
        </w:tc>
        <w:tc>
          <w:tcPr>
            <w:tcW w:w="1988" w:type="dxa"/>
          </w:tcPr>
          <w:p>
            <w:pPr/>
            <w:r>
              <w:t xml:space="preserve">PECI stays simple and fast. Uses a load process that already exists.</w:t>
            </w:r>
          </w:p>
        </w:tc>
        <w:tc>
          <w:tcPr>
            <w:tcW w:w="2742" w:type="dxa"/>
          </w:tcPr>
          <w:p>
            <w:pPr/>
            <w:r>
              <w:t xml:space="preserve">Two data feeds to reconcile. Timing between PECI and the G2 load needs agreement. Details still to be discussed.</w:t>
            </w:r>
          </w:p>
        </w:tc>
      </w:tr>
      <w:tr>
        <w:tc>
          <w:tcPr>
            <w:tcW w:w="1826" w:type="dxa"/>
          </w:tcPr>
          <w:p>
            <w:pPr/>
            <w:r>
              <w:t xml:space="preserve">3. Manual correction</w:t>
            </w:r>
          </w:p>
        </w:tc>
        <w:tc>
          <w:tcPr>
            <w:tcW w:w="2804" w:type="dxa"/>
          </w:tcPr>
          <w:p>
            <w:pPr/>
            <w:r>
              <w:t xml:space="preserve">The affected records are fixed by hand in ADP.</w:t>
            </w:r>
          </w:p>
        </w:tc>
        <w:tc>
          <w:tcPr>
            <w:tcW w:w="1988" w:type="dxa"/>
          </w:tcPr>
          <w:p>
            <w:pPr/>
            <w:r>
              <w:t xml:space="preserve">No build work. Fastest to start.</w:t>
            </w:r>
          </w:p>
        </w:tc>
        <w:tc>
          <w:tcPr>
            <w:tcW w:w="2742" w:type="dxa"/>
          </w:tcPr>
          <w:p>
            <w:pPr/>
            <w:r>
              <w:t xml:space="preserve">Does not scale. Relies on people spotting each case. Risk of errors in payroll. Details still to be discussed.</w:t>
            </w:r>
          </w:p>
        </w:tc>
      </w:tr>
    </w:tbl>
    <w:p>
      <w:pPr>
        <w:pStyle w:val="Heading2"/>
      </w:pPr>
      <w:r>
        <w:t xml:space="preserve">Recommendation and next steps</w:t>
      </w:r>
    </w:p>
    <w:p>
      <w:pPr/>
      <w:r>
        <w:t xml:space="preserve">Option 1, Document Transformation, is the best long-term fix. It solves the wrong output and the performance problem together. Option 2 or 3 can cover the gap until the transformation is live.</w:t>
      </w:r>
    </w:p>
    <w:p>
      <w:pPr>
        <w:pStyle w:val="ListParagraph"/>
        <w:numPr>
          <w:ilvl w:val="0"/>
          <w:numId w:val="2"/>
        </w:numPr>
      </w:pPr>
      <w:r>
        <w:t xml:space="preserve">☐ Agree on the target logic for Type of Transfer and Localization_Date, including the PCO + DTA case</w:t>
      </w:r>
    </w:p>
    <w:p>
      <w:pPr>
        <w:pStyle w:val="ListParagraph"/>
        <w:numPr>
          <w:ilvl w:val="0"/>
          <w:numId w:val="2"/>
        </w:numPr>
      </w:pPr>
      <w:r>
        <w:t xml:space="preserve">☐ Size the Document Transformation build and its test effort</w:t>
      </w:r>
    </w:p>
    <w:p>
      <w:pPr>
        <w:pStyle w:val="ListParagraph"/>
        <w:numPr>
          <w:ilvl w:val="0"/>
          <w:numId w:val="2"/>
        </w:numPr>
      </w:pPr>
      <w:r>
        <w:t xml:space="preserve">☐ Decide on a short-term fallback (G2 load or manual fix) and who owns it</w:t>
      </w:r>
    </w:p>
    <w:p>
      <w:pPr>
        <w:pStyle w:val="ListParagraph"/>
        <w:numPr>
          <w:ilvl w:val="0"/>
          <w:numId w:val="2"/>
        </w:numPr>
      </w:pPr>
      <w:r>
        <w:t xml:space="preserve">☐ Finish the Workday performance tests and check the output stays the same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PECI Type of Transfer – Possible Solutions</dc:title>
  <dc:description>Claude Docs node/7e76b47e-b3cd@4 docx-w7</dc:description>
  <cp:revision>4</cp:revision>
</cp:coreProperties>
</file>