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Cambridge Element — Style Module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Short monograph (Cambridge Elements series or similar) or book chapter. v1.0 — Shareable Edition.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This is the PER-TYPE layer. The root 'Writing Guide — House Style' is the shared core and applies IN FULL to every type (strong direct arguments; no editorializing; no verbal disputes; one move per sentence; cut filler; each argument in exactly one place). This module only adds what is specific to this paper type: length, citation/footnote practice, structure, and register. Defaults below are starting points — confirm them against the author's real venues at setup.</w:t>
      </w:r>
    </w:p>
    <w:p>
      <w:pPr>
        <w:pStyle w:val="Heading1"/>
        <w:pBdr>
          <w:bottom w:val="single" w:sz="8" w:space="4" w:color="44546A"/>
        </w:pBdr>
      </w:pPr>
      <w:r>
        <w:t>Target length</w:t>
      </w:r>
    </w:p>
    <w:p>
      <w:pPr>
        <w:pStyle w:val="ListBullet"/>
      </w:pPr>
      <w:r>
        <w:rPr>
          <w:b w:val="0"/>
          <w:i w:val="0"/>
        </w:rPr>
        <w:t>Default ~30,000 words (Elements run ~20,000–35,000). Set the exact target in the Setup Contract; the press gives a word ceiling per series — treat it as a hard cap.</w:t>
      </w:r>
    </w:p>
    <w:p>
      <w:pPr>
        <w:pStyle w:val="ListBullet"/>
      </w:pPr>
      <w:r>
        <w:rPr>
          <w:b w:val="0"/>
          <w:i w:val="0"/>
        </w:rPr>
        <w:t>It is a short MONOGRAPH — longer and more self-contained than a journal article, shorter than a book. Budget several substantive sections plus a real introduction and conclusion.</w:t>
      </w:r>
    </w:p>
    <w:p>
      <w:pPr>
        <w:pStyle w:val="Heading1"/>
        <w:pBdr>
          <w:bottom w:val="single" w:sz="8" w:space="4" w:color="44546A"/>
        </w:pBdr>
      </w:pPr>
      <w:r>
        <w:t>Citations &amp; footnotes</w:t>
      </w:r>
    </w:p>
    <w:p>
      <w:pPr>
        <w:pStyle w:val="ListBullet"/>
      </w:pPr>
      <w:r>
        <w:rPr>
          <w:b w:val="0"/>
          <w:i w:val="0"/>
        </w:rPr>
        <w:t>Author-date in-text ('Smith 2024', 'Smith 2024, 145') with a reference list at the end.</w:t>
      </w:r>
    </w:p>
    <w:p>
      <w:pPr>
        <w:pStyle w:val="ListBullet"/>
      </w:pPr>
      <w:r>
        <w:rPr>
          <w:b w:val="0"/>
          <w:i w:val="0"/>
        </w:rPr>
        <w:t>Footnotes are substantive, used moderately — genuine asides, qualifications, and pointers — not a citation apparatus (citations go in-text).</w:t>
      </w:r>
    </w:p>
    <w:p>
      <w:pPr>
        <w:pStyle w:val="ListBullet"/>
      </w:pPr>
      <w:r>
        <w:rPr>
          <w:b w:val="0"/>
          <w:i w:val="0"/>
        </w:rPr>
        <w:t>Drafting placeholders '(Author Year)' resolve in the Stage-10 citation audit against the real sources.</w:t>
      </w:r>
    </w:p>
    <w:p>
      <w:pPr>
        <w:pStyle w:val="Heading1"/>
        <w:pBdr>
          <w:bottom w:val="single" w:sz="8" w:space="4" w:color="44546A"/>
        </w:pBdr>
      </w:pPr>
      <w:r>
        <w:t>Structure conventions</w:t>
      </w:r>
    </w:p>
    <w:p>
      <w:pPr>
        <w:pStyle w:val="ListBullet"/>
      </w:pPr>
      <w:r>
        <w:rPr>
          <w:b w:val="0"/>
          <w:i w:val="0"/>
        </w:rPr>
        <w:t>A motivating Introduction that frames the whole topic for an interested but non-specialist reader, states the thesis up front, and roadmaps the sections.</w:t>
      </w:r>
    </w:p>
    <w:p>
      <w:pPr>
        <w:pStyle w:val="ListBullet"/>
      </w:pPr>
      <w:r>
        <w:rPr>
          <w:b w:val="0"/>
          <w:i w:val="0"/>
        </w:rPr>
        <w:t>Several substantive sections/chapters, each opening with its numbered arguments listed at the top (e.g., 'three economic arguments'); each argument then develops in its own subsection with a clean topic sentence, sustained development, and concrete examples.</w:t>
      </w:r>
    </w:p>
    <w:p>
      <w:pPr>
        <w:pStyle w:val="ListBullet"/>
      </w:pPr>
      <w:r>
        <w:rPr>
          <w:b w:val="0"/>
          <w:i w:val="0"/>
        </w:rPr>
        <w:t>Numbered sub-arguments within subsections; named-argument labels reused across the whole Element.</w:t>
      </w:r>
    </w:p>
    <w:p>
      <w:pPr>
        <w:pStyle w:val="ListBullet"/>
      </w:pPr>
      <w:r>
        <w:rPr>
          <w:b w:val="0"/>
          <w:i w:val="0"/>
        </w:rPr>
        <w:t>A forward-looking Conclusion (not a recap). Optional brief 'state of the field' early, since readers may be newcomers to the topic.</w:t>
      </w:r>
    </w:p>
    <w:p>
      <w:pPr>
        <w:pStyle w:val="Heading1"/>
        <w:pBdr>
          <w:bottom w:val="single" w:sz="8" w:space="4" w:color="44546A"/>
        </w:pBdr>
      </w:pPr>
      <w:r>
        <w:t>Register &amp; voice (on top of the Writing Guide)</w:t>
      </w:r>
    </w:p>
    <w:p>
      <w:pPr>
        <w:pStyle w:val="ListBullet"/>
      </w:pPr>
      <w:r>
        <w:rPr>
          <w:b w:val="0"/>
          <w:i w:val="0"/>
        </w:rPr>
        <w:t>Monograph register: accessible and pedagogically clear; define terms; assume an interested reader, not a sub-field specialist. Still fully argument-driven — the Writing Guide's directness applies.</w:t>
      </w:r>
    </w:p>
    <w:p>
      <w:pPr>
        <w:pStyle w:val="ListBullet"/>
      </w:pPr>
      <w:r>
        <w:rPr>
          <w:b w:val="0"/>
          <w:i w:val="0"/>
        </w:rPr>
        <w:t>Broader framing than a single journal article: the Element makes a sustained case across chapters, so motivate the topic and connect the chapters, without re-arguing a point made elsewhere (cross-reference instead).</w:t>
      </w:r>
    </w:p>
    <w:p>
      <w:pPr>
        <w:pStyle w:val="ListBullet"/>
      </w:pPr>
      <w:r>
        <w:rPr>
          <w:b w:val="0"/>
          <w:i w:val="0"/>
        </w:rPr>
        <w:t>Short emphatic sentences mixed with longer accumulating ones; specific figures, named actors, dated events embedded inline.</w:t>
      </w:r>
    </w:p>
    <w:p>
      <w:pPr>
        <w:pStyle w:val="Heading1"/>
        <w:pBdr>
          <w:bottom w:val="single" w:sz="8" w:space="4" w:color="44546A"/>
        </w:pBdr>
      </w:pPr>
      <w:r>
        <w:t>Model prose</w:t>
      </w:r>
    </w:p>
    <w:p>
      <w:pPr>
        <w:pStyle w:val="ListBullet"/>
      </w:pPr>
      <w:r>
        <w:rPr>
          <w:b w:val="0"/>
          <w:i w:val="0"/>
        </w:rPr>
        <w:t>The author's own long-form work where it exists (chosen at setup); otherwise an admired Element in the target series, read for STYLE and chapter architecture, not content.</w:t>
      </w:r>
    </w:p>
    <w:p>
      <w:pPr>
        <w:pStyle w:val="Heading1"/>
        <w:pBdr>
          <w:bottom w:val="single" w:sz="8" w:space="4" w:color="44546A"/>
        </w:pBdr>
      </w:pPr>
      <w:r>
        <w:t>Referee lenses (Stage 8 — spawned BLIND)</w:t>
      </w:r>
    </w:p>
    <w:p>
      <w:pPr>
        <w:pStyle w:val="ListBullet"/>
      </w:pPr>
      <w:r>
        <w:rPr>
          <w:b w:val="0"/>
          <w:i w:val="0"/>
        </w:rPr>
        <w:t>Elements are peer-reviewed — the trio should include a generalist in the series' field, a sub-field specialist, and one adjacent-field reader for the chapters that import machinery.</w:t>
      </w:r>
    </w:p>
    <w:p>
      <w:pPr>
        <w:pStyle w:val="Heading1"/>
        <w:pBdr>
          <w:bottom w:val="single" w:sz="8" w:space="4" w:color="44546A"/>
        </w:pBdr>
      </w:pPr>
      <w:r>
        <w:t>Special passes / notes</w:t>
      </w:r>
    </w:p>
    <w:p>
      <w:pPr>
        <w:pStyle w:val="ListBullet"/>
      </w:pPr>
      <w:r>
        <w:rPr>
          <w:b w:val="0"/>
          <w:i w:val="0"/>
        </w:rPr>
        <w:t>Chapters can stand somewhat alone; ensure the named-argument labels and cross-references are consistent across the whole work in the Stage-10 integration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Style Module — Cambridge Element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