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4546A"/>
          <w:sz w:val="42"/>
        </w:rPr>
        <w:t>Empirical Social Science Paper — Style Module</w:t>
      </w:r>
    </w:p>
    <w:p>
      <w:pPr>
        <w:jc w:val="center"/>
      </w:pPr>
      <w:r>
        <w:rPr>
          <w:rFonts w:ascii="Calibri" w:hAnsi="Calibri"/>
          <w:i/>
          <w:color w:val="555555"/>
          <w:sz w:val="21"/>
        </w:rPr>
        <w:t>Quantitative or mixed-methods empirical article (economics, psychology, political science, sociology, management, …). v1.0 — Shareable Edition. STARTER MODULE — empirical venues vary widely; confirm every default against the target venue at setup.</w:t>
      </w:r>
    </w:p>
    <w:p>
      <w:pPr>
        <w:spacing w:before="80" w:after="160"/>
        <w:ind w:left="72" w:right="72"/>
        <w:shd w:val="clear" w:color="auto" w:fill="EFEFEF"/>
        <w:pBdr>
          <w:top w:val="single" w:sz="6" w:space="6" w:color="9A9A9A"/>
          <w:left w:val="single" w:sz="6" w:space="6" w:color="9A9A9A"/>
          <w:bottom w:val="single" w:sz="6" w:space="6" w:color="9A9A9A"/>
          <w:right w:val="single" w:sz="6" w:space="6" w:color="9A9A9A"/>
        </w:pBdr>
      </w:pPr>
      <w:r>
        <w:rPr>
          <w:b w:val="0"/>
          <w:i/>
          <w:color w:val="333333"/>
          <w:sz w:val="19"/>
        </w:rPr>
        <w:t>This is the PER-TYPE layer. The root 'Writing Guide — House Style' is the shared core and applies IN FULL to every type (strong direct arguments; no editorializing; no verbal disputes; one move per sentence; cut filler; each argument in exactly one place). This module only adds what is specific to this paper type: length, citation/footnote practice, structure, and register. Defaults below are starting points — confirm them against the author's real venues at setup.</w:t>
      </w:r>
    </w:p>
    <w:p>
      <w:pPr>
        <w:pStyle w:val="Heading1"/>
        <w:pBdr>
          <w:bottom w:val="single" w:sz="8" w:space="4" w:color="44546A"/>
        </w:pBdr>
      </w:pPr>
      <w:r>
        <w:t>How the Pipeline adapts for empirical work</w:t>
      </w:r>
    </w:p>
    <w:p>
      <w:pPr>
        <w:pStyle w:val="ListBullet"/>
      </w:pPr>
      <w:r>
        <w:rPr>
          <w:b w:val="0"/>
          <w:i w:val="0"/>
        </w:rPr>
        <w:t>The results are the paper's spine. Stage 3's layered outline is organized around the ANALYSES: which tables and figures will exist, what each shows, and what claim each supports — one outline bullet per planned result, with its (verify) tag. The 'arguments' of the argumentative default become the paper's claims-from-evidence.</w:t>
      </w:r>
    </w:p>
    <w:p>
      <w:pPr>
        <w:pStyle w:val="ListBullet"/>
      </w:pPr>
      <w:r>
        <w:rPr>
          <w:b w:val="0"/>
          <w:i w:val="0"/>
        </w:rPr>
        <w:t>The agent drafts around the author's results; it never invents them. Numbers, tables, and figures come from the author's analysis outputs, loaded like Background Readings. Every number in the prose carries a (verify) tag until checked against the source output.</w:t>
      </w:r>
    </w:p>
    <w:p>
      <w:pPr>
        <w:pStyle w:val="ListBullet"/>
      </w:pPr>
      <w:r>
        <w:rPr>
          <w:b w:val="0"/>
          <w:i w:val="0"/>
        </w:rPr>
        <w:t>The Literature Map doubles as the positioning for the contribution statement: what is known, what this design adds, which prior estimates this one speaks to.</w:t>
      </w:r>
    </w:p>
    <w:p>
      <w:pPr>
        <w:pStyle w:val="Heading1"/>
        <w:pBdr>
          <w:bottom w:val="single" w:sz="8" w:space="4" w:color="44546A"/>
        </w:pBdr>
      </w:pPr>
      <w:r>
        <w:t>Target length</w:t>
      </w:r>
    </w:p>
    <w:p>
      <w:pPr>
        <w:pStyle w:val="ListBullet"/>
      </w:pPr>
      <w:r>
        <w:rPr>
          <w:b w:val="0"/>
          <w:i w:val="0"/>
        </w:rPr>
        <w:t>Default ~8,000–12,000 words plus tables/figures and appendices — but venue norms differ by an order of magnitude across fields (an economics job-market paper is not a psychology brief report). Set the target from the venue at Intake.</w:t>
      </w:r>
    </w:p>
    <w:p>
      <w:pPr>
        <w:pStyle w:val="Heading1"/>
        <w:pBdr>
          <w:bottom w:val="single" w:sz="8" w:space="4" w:color="44546A"/>
        </w:pBdr>
      </w:pPr>
      <w:r>
        <w:t>Citations &amp; footnotes</w:t>
      </w:r>
    </w:p>
    <w:p>
      <w:pPr>
        <w:pStyle w:val="ListBullet"/>
      </w:pPr>
      <w:r>
        <w:rPr>
          <w:b w:val="0"/>
          <w:i w:val="0"/>
        </w:rPr>
        <w:t>Per the venue: author-date (APA/Chicago-style) in most social sciences; numbered in some. Footnotes sparse; methods details go to the appendix or supplement, not to footnotes.</w:t>
      </w:r>
    </w:p>
    <w:p>
      <w:pPr>
        <w:pStyle w:val="Heading1"/>
        <w:pBdr>
          <w:bottom w:val="single" w:sz="8" w:space="4" w:color="44546A"/>
        </w:pBdr>
      </w:pPr>
      <w:r>
        <w:t>Structure conventions</w:t>
      </w:r>
    </w:p>
    <w:p>
      <w:pPr>
        <w:pStyle w:val="ListBullet"/>
      </w:pPr>
      <w:r>
        <w:rPr>
          <w:b w:val="0"/>
          <w:i w:val="0"/>
        </w:rPr>
        <w:t>The standard arc: Introduction (motivation, question, preview of findings and contribution) → Literature/Background → Data &amp; Methods → Results → Discussion (interpretation, limitations, implications) → Conclusion. Field variants exist (economics folds literature into the intro; psychology may run multiple studies each with methods/results) — follow the venue's exemplars.</w:t>
      </w:r>
    </w:p>
    <w:p>
      <w:pPr>
        <w:pStyle w:val="ListBullet"/>
      </w:pPr>
      <w:r>
        <w:rPr>
          <w:b w:val="0"/>
          <w:i w:val="0"/>
        </w:rPr>
        <w:t>The introduction states the finding, not just the question — the reader should know the headline result and the contribution by the end of page one.</w:t>
      </w:r>
    </w:p>
    <w:p>
      <w:pPr>
        <w:pStyle w:val="ListBullet"/>
      </w:pPr>
      <w:r>
        <w:rPr>
          <w:b w:val="0"/>
          <w:i w:val="0"/>
        </w:rPr>
        <w:t>Methods written for reproducibility: design, sample, measures, estimation strategy, pre-registration status, data availability — at the venue's customary depth.</w:t>
      </w:r>
    </w:p>
    <w:p>
      <w:pPr>
        <w:pStyle w:val="ListBullet"/>
      </w:pPr>
      <w:r>
        <w:rPr>
          <w:b w:val="0"/>
          <w:i w:val="0"/>
        </w:rPr>
        <w:t>Results follow the analysis plan; every claim in the text matches its table or figure exactly. Limitations stated plainly in the Discussion, where they arise — not as apology.</w:t>
      </w:r>
    </w:p>
    <w:p>
      <w:pPr>
        <w:pStyle w:val="Heading1"/>
        <w:pBdr>
          <w:bottom w:val="single" w:sz="8" w:space="4" w:color="44546A"/>
        </w:pBdr>
      </w:pPr>
      <w:r>
        <w:t>Register &amp; voice (on top of the Writing Guide)</w:t>
      </w:r>
    </w:p>
    <w:p>
      <w:pPr>
        <w:pStyle w:val="ListBullet"/>
      </w:pPr>
      <w:r>
        <w:rPr>
          <w:b w:val="0"/>
          <w:i w:val="0"/>
        </w:rPr>
        <w:t>Precise and unadorned; no drama adjectives around effect sizes; hedges are statistical, not rhetorical (confidence and uncertainty stated once, in the accepted vocabulary).</w:t>
      </w:r>
    </w:p>
    <w:p>
      <w:pPr>
        <w:pStyle w:val="ListBullet"/>
      </w:pPr>
      <w:r>
        <w:rPr>
          <w:b w:val="0"/>
          <w:i w:val="0"/>
        </w:rPr>
        <w:t>Tense conventions per field (commonly: past tense for what was done and found; present for what the results show/mean). Confirm against the venue's exemplars and the author's own papers.</w:t>
      </w:r>
    </w:p>
    <w:p>
      <w:pPr>
        <w:pStyle w:val="Heading1"/>
        <w:pBdr>
          <w:bottom w:val="single" w:sz="8" w:space="4" w:color="44546A"/>
        </w:pBdr>
      </w:pPr>
      <w:r>
        <w:t>Model prose</w:t>
      </w:r>
    </w:p>
    <w:p>
      <w:pPr>
        <w:pStyle w:val="ListBullet"/>
      </w:pPr>
      <w:r>
        <w:rPr>
          <w:b w:val="0"/>
          <w:i w:val="0"/>
        </w:rPr>
        <w:t>The author's own empirical papers (chosen at setup); supplement with 1–2 well-regarded recent articles in the target venue as structure models.</w:t>
      </w:r>
    </w:p>
    <w:p>
      <w:pPr>
        <w:pStyle w:val="Heading1"/>
        <w:pBdr>
          <w:bottom w:val="single" w:sz="8" w:space="4" w:color="44546A"/>
        </w:pBdr>
      </w:pPr>
      <w:r>
        <w:t>Referee lenses (Stage 8 — spawned BLIND)</w:t>
      </w:r>
    </w:p>
    <w:p>
      <w:pPr>
        <w:pStyle w:val="ListBullet"/>
      </w:pPr>
      <w:r>
        <w:rPr>
          <w:b w:val="0"/>
          <w:i w:val="0"/>
        </w:rPr>
        <w:t>The fixed trio: one METHODS/STATISTICS reader (design validity, estimation, inference, robustness), one SUBSTANTIVE-FIELD expert (does this speak to the literature; are the mechanisms plausible), one venue GENERALIST (contribution and clarity).</w:t>
      </w:r>
    </w:p>
    <w:p>
      <w:pPr>
        <w:pStyle w:val="Heading1"/>
        <w:pBdr>
          <w:bottom w:val="single" w:sz="8" w:space="4" w:color="44546A"/>
        </w:pBdr>
      </w:pPr>
      <w:r>
        <w:t>Special passes / notes</w:t>
      </w:r>
    </w:p>
    <w:p>
      <w:pPr>
        <w:pStyle w:val="ListBullet"/>
      </w:pPr>
      <w:r>
        <w:rPr>
          <w:b w:val="0"/>
          <w:i w:val="0"/>
        </w:rPr>
        <w:t>Numbers-consistency pass (Stage 10, before the citation audit): every statistic in the text, abstract, and tables agrees; N's add up; percentages match counts; the abstract's numbers appear in the body. This is the empirical sibling of the cross-reference check.</w:t>
      </w:r>
    </w:p>
    <w:p>
      <w:pPr>
        <w:pStyle w:val="ListBullet"/>
      </w:pPr>
      <w:r>
        <w:rPr>
          <w:b w:val="0"/>
          <w:i w:val="0"/>
        </w:rPr>
        <w:t>Verify the required statements exist per venue: data availability, pre-registration, ethics/IRB, conflicts, funding.</w:t>
      </w:r>
    </w:p>
    <w:p>
      <w:pPr>
        <w:pStyle w:val="ListBullet"/>
      </w:pPr>
      <w:r>
        <w:rPr>
          <w:b w:val="0"/>
          <w:i w:val="0"/>
        </w:rPr>
        <w:t>The citation-auditor also checks that empirical claims about PRIOR work state the right direction and magnitude — misquoted effect sizes are this genre's fabricated pinpoint.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864" w:bottom="1152" w:left="86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6DC"/>
      </w:pBdr>
      <w:tabs>
        <w:tab w:pos="10512" w:val="right"/>
      </w:tabs>
    </w:pPr>
    <w:r>
      <w:rPr>
        <w:rFonts w:ascii="Calibri" w:hAnsi="Calibri"/>
        <w:b w:val="0"/>
        <w:i w:val="0"/>
        <w:color w:val="707070"/>
        <w:sz w:val="17"/>
      </w:rPr>
      <w:t>Deep Drafter   |   Style Module — Empirical Social Science</w:t>
      <w:tab/>
    </w:r>
    <w:r>
      <w:rPr>
        <w:rFonts w:ascii="Calibri" w:hAnsi="Calibri"/>
        <w:b w:val="0"/>
        <w:i w:val="0"/>
        <w:color w:val="707070"/>
        <w:sz w:val="17"/>
      </w:rPr>
      <w:t xml:space="preserve">Page </w:t>
    </w:r>
    <w:r>
      <w:rPr>
        <w:rFonts w:ascii="Calibri" w:hAnsi="Calibri"/>
        <w:b w:val="0"/>
        <w:i w:val="0"/>
        <w:color w:val="707070"/>
        <w:sz w:val="17"/>
      </w:rPr>
      <w:fldChar w:fldCharType="begin"/>
    </w:r>
    <w:r>
      <w:rPr>
        <w:rFonts w:ascii="Calibri" w:hAnsi="Calibri"/>
        <w:b w:val="0"/>
        <w:i w:val="0"/>
        <w:color w:val="707070"/>
        <w:sz w:val="17"/>
      </w:rPr>
      <w:instrText xml:space="preserve"> PAGE </w:instrText>
    </w:r>
    <w:r>
      <w:rPr>
        <w:rFonts w:ascii="Calibri" w:hAnsi="Calibri"/>
        <w:b w:val="0"/>
        <w:i w:val="0"/>
        <w:color w:val="70707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C9D6DC"/>
      </w:pBdr>
    </w:pPr>
    <w:r>
      <w:rPr>
        <w:rFonts w:ascii="Calibri" w:hAnsi="Calibri"/>
        <w:b w:val="0"/>
        <w:i w:val="0"/>
        <w:color w:val="707070"/>
        <w:sz w:val="17"/>
      </w:rPr>
      <w:t>Deep Drafter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45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454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