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4546A"/>
          <w:sz w:val="42"/>
        </w:rPr>
        <w:t>Philosophy Paper — Style Module</w:t>
      </w:r>
    </w:p>
    <w:p>
      <w:pPr>
        <w:jc w:val="center"/>
      </w:pPr>
      <w:r>
        <w:rPr>
          <w:rFonts w:ascii="Calibri" w:hAnsi="Calibri"/>
          <w:i/>
          <w:color w:val="555555"/>
          <w:sz w:val="21"/>
        </w:rPr>
        <w:t>Journal article in philosophy. v1.0 — Shareable Edition.</w:t>
      </w:r>
    </w:p>
    <w:p>
      <w:pPr>
        <w:spacing w:before="80" w:after="160"/>
        <w:ind w:left="72" w:right="72"/>
        <w:shd w:val="clear" w:color="auto" w:fill="EFEFEF"/>
        <w:pBdr>
          <w:top w:val="single" w:sz="6" w:space="6" w:color="9A9A9A"/>
          <w:left w:val="single" w:sz="6" w:space="6" w:color="9A9A9A"/>
          <w:bottom w:val="single" w:sz="6" w:space="6" w:color="9A9A9A"/>
          <w:right w:val="single" w:sz="6" w:space="6" w:color="9A9A9A"/>
        </w:pBdr>
      </w:pPr>
      <w:r>
        <w:rPr>
          <w:b w:val="0"/>
          <w:i/>
          <w:color w:val="333333"/>
          <w:sz w:val="19"/>
        </w:rPr>
        <w:t>This is the PER-TYPE layer. The root 'Writing Guide — House Style' is the shared core and applies IN FULL to every type (strong direct arguments; no editorializing; no verbal disputes; one move per sentence; cut filler; each argument in exactly one place). This module only adds what is specific to this paper type: length, citation/footnote practice, structure, and register. Defaults below are starting points — confirm them against the author's real venues at setup.</w:t>
      </w:r>
    </w:p>
    <w:p>
      <w:pPr>
        <w:pStyle w:val="Heading1"/>
        <w:pBdr>
          <w:bottom w:val="single" w:sz="8" w:space="4" w:color="44546A"/>
        </w:pBdr>
      </w:pPr>
      <w:r>
        <w:t>Register — read the companion guide (REQUIRED)</w:t>
      </w:r>
    </w:p>
    <w:p>
      <w:r>
        <w:rPr>
          <w:b w:val="0"/>
          <w:i w:val="0"/>
        </w:rPr>
        <w:t>For sentence- and paragraph-level register, this module is paired with 'Analytic Philosophy Prose — Style Guide' (same folder) — the field-register companion (displays; premise-form central argument; named-vignette cases). Read it before drafting Stage-4 prose and again before any register pass, after the general 'Prose Register — All Paper Types'.</w:t>
      </w:r>
    </w:p>
    <w:p>
      <w:pPr>
        <w:pStyle w:val="Heading1"/>
        <w:pBdr>
          <w:bottom w:val="single" w:sz="8" w:space="4" w:color="44546A"/>
        </w:pBdr>
      </w:pPr>
      <w:r>
        <w:t>Target length</w:t>
      </w:r>
    </w:p>
    <w:p>
      <w:r>
        <w:rPr>
          <w:b w:val="0"/>
          <w:i w:val="0"/>
        </w:rPr>
        <w:t>Default ~7,000–8,000 words (some journals allow ~10–12k; confirm the target journal's limit in the Setup Contract). Abstract ~150–250 words.</w:t>
      </w:r>
    </w:p>
    <w:p>
      <w:r>
        <w:rPr>
          <w:b w:val="0"/>
          <w:i w:val="0"/>
        </w:rPr>
        <w:t>Tight. Compress aggressively; nail one thing and generalize rather than surveying every variant. Demote secondary material to footnotes rather than padding the body.</w:t>
      </w:r>
    </w:p>
    <w:p>
      <w:pPr>
        <w:pStyle w:val="Heading1"/>
        <w:pBdr>
          <w:bottom w:val="single" w:sz="8" w:space="4" w:color="44546A"/>
        </w:pBdr>
      </w:pPr>
      <w:r>
        <w:t>Citations &amp; footnotes</w:t>
      </w:r>
    </w:p>
    <w:p>
      <w:r>
        <w:rPr>
          <w:b w:val="0"/>
          <w:i w:val="0"/>
        </w:rPr>
        <w:t>Author-date in-text ('Smith 2024', 'Smith 2024, 12') with a reference list at the end.</w:t>
      </w:r>
    </w:p>
    <w:p>
      <w:r>
        <w:rPr>
          <w:b w:val="0"/>
          <w:i w:val="0"/>
        </w:rPr>
        <w:t>Footnotes sparingly — only for genuinely substantive asides (a qualification, a secondary objection, a pointer), NOT as the main citation vehicle. If a point matters, put it in the main text; if it doesn't, cut it or footnote it (prefer footnoting to hedging).</w:t>
      </w:r>
    </w:p>
    <w:p>
      <w:r>
        <w:rPr>
          <w:b w:val="0"/>
          <w:i w:val="0"/>
        </w:rPr>
        <w:t>Strip jargon, even from footnotes; plain English over heavy formalism. Push any heavy formal apparatus to an appendix and keep the main text readable.</w:t>
      </w:r>
    </w:p>
    <w:p>
      <w:pPr>
        <w:pStyle w:val="Heading1"/>
        <w:pBdr>
          <w:bottom w:val="single" w:sz="8" w:space="4" w:color="44546A"/>
        </w:pBdr>
      </w:pPr>
      <w:r>
        <w:t>Structure conventions</w:t>
      </w:r>
    </w:p>
    <w:p>
      <w:r>
        <w:rPr>
          <w:b w:val="0"/>
          <w:i w:val="0"/>
        </w:rPr>
        <w:t>5–7 numbered sections (1, 2, 3 …) plus an optional appendix. Front-loaded thesis (abstract + first ¶ of the intro + first ¶ of the body).</w:t>
      </w:r>
    </w:p>
    <w:p>
      <w:r>
        <w:rPr>
          <w:b w:val="0"/>
          <w:i w:val="0"/>
        </w:rPr>
        <w:t>Displays: named principles, the paper's own view (stated in full), named cases (as self-contained vignettes), and the central argument in premise form are all set as indented bold-label displays — the ('display', 'Label.', 'text') block in gen_docx / gen_paper_docx. Details and examples in the field-register companion.</w:t>
      </w:r>
    </w:p>
    <w:p>
      <w:r>
        <w:rPr>
          <w:b w:val="0"/>
          <w:i w:val="0"/>
        </w:rPr>
        <w:t>Interleaved objections per argument, plus a dedicated objections section for the 1–3 largest cross-cutting ones — the dual structure that reads rigorous without reading defensive.</w:t>
      </w:r>
    </w:p>
    <w:p>
      <w:r>
        <w:rPr>
          <w:b w:val="0"/>
          <w:i w:val="0"/>
        </w:rPr>
        <w:t>3–5 affirmative arguments per section, each a numbered paragraph; brief steelman then direct response to objections.</w:t>
      </w:r>
    </w:p>
    <w:p>
      <w:pPr>
        <w:pStyle w:val="Heading1"/>
        <w:pBdr>
          <w:bottom w:val="single" w:sz="8" w:space="4" w:color="44546A"/>
        </w:pBdr>
      </w:pPr>
      <w:r>
        <w:t>Register &amp; voice (on top of the Writing Guide)</w:t>
      </w:r>
    </w:p>
    <w:p>
      <w:r>
        <w:rPr>
          <w:b w:val="0"/>
          <w:i w:val="0"/>
        </w:rPr>
        <w:t>Argument-directive journal register: philosophical rather than survey-style; footnote-tolerant; moderate formality. Hold the reader's hand in the main text; keep density in the appendix.</w:t>
      </w:r>
    </w:p>
    <w:p>
      <w:r>
        <w:rPr>
          <w:b w:val="0"/>
          <w:i w:val="0"/>
        </w:rPr>
        <w:t>Match the SPECIFIC target journal — different philosophy journals differ in length, formality, and section style; confirm the house conventions in the Setup Contract.</w:t>
      </w:r>
    </w:p>
    <w:p>
      <w:pPr>
        <w:pStyle w:val="Heading1"/>
        <w:pBdr>
          <w:bottom w:val="single" w:sz="8" w:space="4" w:color="44546A"/>
        </w:pBdr>
      </w:pPr>
      <w:r>
        <w:t>Model prose</w:t>
      </w:r>
    </w:p>
    <w:p>
      <w:r>
        <w:rPr>
          <w:b w:val="0"/>
          <w:i w:val="0"/>
        </w:rPr>
        <w:t>A prior philosophy paper by the author in the same register (chosen at setup — see the Model Prose Library catalog's coverage-by-type line). Put the chosen one in the paper's Model Prose/ folder and read it for voice before drafting — sentence shapes, not content. Also read the closest example in the shared Model Prose Library in full before Stage-4 drafting.</w:t>
      </w:r>
    </w:p>
    <w:p>
      <w:pPr>
        <w:pStyle w:val="Heading1"/>
        <w:pBdr>
          <w:bottom w:val="single" w:sz="8" w:space="4" w:color="44546A"/>
        </w:pBdr>
      </w:pPr>
      <w:r>
        <w:t>Referee lenses (Stage 8 — spawned BLIND)</w:t>
      </w:r>
    </w:p>
    <w:p>
      <w:r>
        <w:rPr>
          <w:b w:val="0"/>
          <w:i w:val="0"/>
        </w:rPr>
        <w:t>The fixed trio for a philosophy paper: (1) a specialist in the paper's own sub-field / the tradition it targets (the hostile expert); (2) a broad philosophy GENERALIST — the venue's typical gatekeeper, who judges whether it is a genuine, publishable contribution; (3) a foundations/adjacent specialist who can pressure-test the deepest formal or metaethical commitments. Fresh personas each round, same three lenses. Each is spawned BLIND (only its lens + the manuscript + the venue; no summary of the paper's claims, no leading questions) and reads the footnotes. Add one standing 'case-for-acceptance' reader to offset the built-in revise-and-resubmit lean. See referee.md and the Pipeline for the full standard (read the trajectory not the label; cap the rounds; author-owned Finish).</w:t>
      </w:r>
    </w:p>
    <w:p>
      <w:pPr>
        <w:pStyle w:val="Heading1"/>
        <w:pBdr>
          <w:bottom w:val="single" w:sz="8" w:space="4" w:color="44546A"/>
        </w:pBdr>
      </w:pPr>
      <w:r>
        <w:t>Special passes / notes</w:t>
      </w:r>
    </w:p>
    <w:p>
      <w:r>
        <w:rPr>
          <w:b w:val="0"/>
          <w:i w:val="0"/>
        </w:rPr>
        <w:t>Pinpoint citations are the most error-prone element — the citation-auditor checks every 'X argues Y on p. Z'.</w:t>
      </w:r>
    </w:p>
    <w:p>
      <w:r>
        <w:rPr>
          <w:b w:val="0"/>
          <w:i w:val="0"/>
        </w:rPr>
        <w:t>For a formal paper, verify any .tex build recompiles to an identical PDF before shipping (pdftotext diff).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864" w:bottom="1152" w:left="86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6DC"/>
      </w:pBdr>
      <w:tabs>
        <w:tab w:pos="10512" w:val="right"/>
      </w:tabs>
    </w:pPr>
    <w:r>
      <w:rPr>
        <w:rFonts w:ascii="Calibri" w:hAnsi="Calibri"/>
        <w:b w:val="0"/>
        <w:i w:val="0"/>
        <w:color w:val="707070"/>
        <w:sz w:val="17"/>
      </w:rPr>
      <w:t>Deep Drafter   |   Style Module — Philosophy Paper</w:t>
      <w:tab/>
    </w:r>
    <w:r>
      <w:rPr>
        <w:rFonts w:ascii="Calibri" w:hAnsi="Calibri"/>
        <w:b w:val="0"/>
        <w:i w:val="0"/>
        <w:color w:val="707070"/>
        <w:sz w:val="17"/>
      </w:rPr>
      <w:t xml:space="preserve">Page </w:t>
    </w:r>
    <w:r>
      <w:rPr>
        <w:rFonts w:ascii="Calibri" w:hAnsi="Calibri"/>
        <w:b w:val="0"/>
        <w:i w:val="0"/>
        <w:color w:val="707070"/>
        <w:sz w:val="17"/>
      </w:rPr>
      <w:fldChar w:fldCharType="begin"/>
    </w:r>
    <w:r>
      <w:rPr>
        <w:rFonts w:ascii="Calibri" w:hAnsi="Calibri"/>
        <w:b w:val="0"/>
        <w:i w:val="0"/>
        <w:color w:val="707070"/>
        <w:sz w:val="17"/>
      </w:rPr>
      <w:instrText xml:space="preserve"> PAGE </w:instrText>
    </w:r>
    <w:r>
      <w:rPr>
        <w:rFonts w:ascii="Calibri" w:hAnsi="Calibri"/>
        <w:b w:val="0"/>
        <w:i w:val="0"/>
        <w:color w:val="707070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C9D6DC"/>
      </w:pBdr>
    </w:pPr>
    <w:r>
      <w:rPr>
        <w:rFonts w:ascii="Calibri" w:hAnsi="Calibri"/>
        <w:b w:val="0"/>
        <w:i w:val="0"/>
        <w:color w:val="707070"/>
        <w:sz w:val="17"/>
      </w:rPr>
      <w:t>Deep Drafter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454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454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