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[New paper type] — Style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Copy this file, rename it to the type, and fill every section. v1.0 — Shareable Edition.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This is the PER-TYPE layer. The root 'Writing Guide — House Style' is the shared core and applies IN FULL to every type (strong direct arguments; no editorializing; no verbal disputes; one move per sentence; cut filler; each argument in exactly one place). This module only adds what is specific to this paper type: length, citation/footnote practice, structure, and register. Defaults below are starting points — confirm them against the author's real venues at setup.</w:t>
      </w:r>
    </w:p>
    <w:p>
      <w:r>
        <w:rPr>
          <w:b w:val="0"/>
          <w:i w:val="0"/>
        </w:rPr>
        <w:t>After writing the module: (1) add the type to TYPE_PRESETS in new_paper.py (default length + one-line posture) so the scaffolder recognizes it; (2) if the field has distinctive register conventions beyond mechanics, write a field-register companion too (see 'Analytic Philosophy Prose — Style Guide' for the shape) and name it from this module. Examples already built: Philosophy Paper, Law Review, Cambridge Element, Empirical Social Science Paper.</w:t>
      </w:r>
    </w:p>
    <w:p>
      <w:pPr>
        <w:pStyle w:val="Heading1"/>
        <w:pBdr>
          <w:bottom w:val="single" w:sz="8" w:space="4" w:color="44546A"/>
        </w:pBdr>
      </w:pPr>
      <w:r>
        <w:t>Target length</w:t>
      </w:r>
    </w:p>
    <w:p>
      <w:pPr>
        <w:pStyle w:val="ListBullet"/>
      </w:pPr>
      <w:r>
        <w:rPr>
          <w:b w:val="0"/>
          <w:i w:val="0"/>
        </w:rPr>
        <w:t>[Default word count + range; where the venue sets a hard cap; abstract length.]</w:t>
      </w:r>
    </w:p>
    <w:p>
      <w:pPr>
        <w:pStyle w:val="Heading1"/>
        <w:pBdr>
          <w:bottom w:val="single" w:sz="8" w:space="4" w:color="44546A"/>
        </w:pBdr>
      </w:pPr>
      <w:r>
        <w:t>Citations &amp; footnotes</w:t>
      </w:r>
    </w:p>
    <w:p>
      <w:pPr>
        <w:pStyle w:val="ListBullet"/>
      </w:pPr>
      <w:r>
        <w:rPr>
          <w:b w:val="0"/>
          <w:i w:val="0"/>
        </w:rPr>
        <w:t>[In-text author-date vs footnotes vs numbered? Reference list? Footnote role — substantive vs citation apparatus? How placeholders resolve.]</w:t>
      </w:r>
    </w:p>
    <w:p>
      <w:pPr>
        <w:pStyle w:val="Heading1"/>
        <w:pBdr>
          <w:bottom w:val="single" w:sz="8" w:space="4" w:color="44546A"/>
        </w:pBdr>
      </w:pPr>
      <w:r>
        <w:t>Structure conventions</w:t>
      </w:r>
    </w:p>
    <w:p>
      <w:pPr>
        <w:pStyle w:val="ListBullet"/>
      </w:pPr>
      <w:r>
        <w:rPr>
          <w:b w:val="0"/>
          <w:i w:val="0"/>
        </w:rPr>
        <w:t>[Section numbering scheme; intro/roadmap expectations; objection or limitations placement; standard parts; what is the paper's spine.]</w:t>
      </w:r>
    </w:p>
    <w:p>
      <w:pPr>
        <w:pStyle w:val="Heading1"/>
        <w:pBdr>
          <w:bottom w:val="single" w:sz="8" w:space="4" w:color="44546A"/>
        </w:pBdr>
      </w:pPr>
      <w:r>
        <w:t>Register &amp; voice (on top of the Writing Guide)</w:t>
      </w:r>
    </w:p>
    <w:p>
      <w:pPr>
        <w:pStyle w:val="ListBullet"/>
      </w:pPr>
      <w:r>
        <w:rPr>
          <w:b w:val="0"/>
          <w:i w:val="0"/>
        </w:rPr>
        <w:t>[What this type adds to the shared house style — formality, scaffolding, audience assumptions, tense/person conventions.]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pPr>
        <w:pStyle w:val="ListBullet"/>
      </w:pPr>
      <w:r>
        <w:rPr>
          <w:b w:val="0"/>
          <w:i w:val="0"/>
        </w:rPr>
        <w:t>[The author's prior paper(s) to imitate for voice — put the chosen one in the paper's Model Prose/ folder; name the Library's closest example.]</w:t>
      </w:r>
    </w:p>
    <w:p>
      <w:pPr>
        <w:pStyle w:val="Heading1"/>
        <w:pBdr>
          <w:bottom w:val="single" w:sz="8" w:space="4" w:color="44546A"/>
        </w:pBdr>
      </w:pPr>
      <w:r>
        <w:t>Referee lenses (Stage 8 — spawned BLIND)</w:t>
      </w:r>
    </w:p>
    <w:p>
      <w:pPr>
        <w:pStyle w:val="ListBullet"/>
      </w:pPr>
      <w:r>
        <w:rPr>
          <w:b w:val="0"/>
          <w:i w:val="0"/>
        </w:rPr>
        <w:t>[The fixed trio of reading lenses for this type — e.g. one hostile specialist, one venue generalist, one methods/foundations reader.]</w:t>
      </w:r>
    </w:p>
    <w:p>
      <w:pPr>
        <w:pStyle w:val="Heading1"/>
        <w:pBdr>
          <w:bottom w:val="single" w:sz="8" w:space="4" w:color="44546A"/>
        </w:pBdr>
      </w:pPr>
      <w:r>
        <w:t>Special passes / notes</w:t>
      </w:r>
    </w:p>
    <w:p>
      <w:pPr>
        <w:pStyle w:val="ListBullet"/>
      </w:pPr>
      <w:r>
        <w:rPr>
          <w:b w:val="0"/>
          <w:i w:val="0"/>
        </w:rPr>
        <w:t>[Any type-specific pass — e.g., a heavy apparatus build, a numbers-consistency check, a build-format step.]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Style Module Template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