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546A"/>
          <w:sz w:val="42"/>
        </w:rPr>
        <w:t>Writing Guide — House Style</w:t>
      </w:r>
    </w:p>
    <w:p>
      <w:pPr>
        <w:jc w:val="center"/>
      </w:pPr>
      <w:r>
        <w:rPr>
          <w:rFonts w:ascii="Calibri" w:hAnsi="Calibri"/>
          <w:i/>
          <w:color w:val="555555"/>
          <w:sz w:val="21"/>
        </w:rPr>
        <w:t>The stylistic core for every paper this agent drafts. Personalized at setup; the defaults below are field-neutral and battle-tested. v1.0 — Shareable Edition, July 2026.</w:t>
      </w:r>
    </w:p>
    <w:p>
      <w:pPr>
        <w:spacing w:before="80" w:after="160"/>
        <w:ind w:left="72" w:right="72"/>
        <w:shd w:val="clear" w:color="auto" w:fill="EFEFEF"/>
        <w:pBdr>
          <w:top w:val="single" w:sz="6" w:space="6" w:color="9A9A9A"/>
          <w:left w:val="single" w:sz="6" w:space="6" w:color="9A9A9A"/>
          <w:bottom w:val="single" w:sz="6" w:space="6" w:color="9A9A9A"/>
          <w:right w:val="single" w:sz="6" w:space="6" w:color="9A9A9A"/>
        </w:pBdr>
      </w:pPr>
      <w:r>
        <w:rPr>
          <w:b w:val="0"/>
          <w:i/>
          <w:color w:val="333333"/>
          <w:sz w:val="19"/>
        </w:rPr>
        <w:t>PERSONALIZE ME — these defaults were distilled from heavy real use on argumentative papers (philosophy, law) and most of them transfer to any field. At setup (see 'SETUP — Personalize the Agent'), the author confirms, adjusts, or replaces each section — especially 'Structure within sections', which is genre-specific. The author's own additions belong here too: this document is house law for every draft.</w:t>
      </w:r>
    </w:p>
    <w:p>
      <w:pPr>
        <w:pStyle w:val="Heading1"/>
        <w:pBdr>
          <w:bottom w:val="single" w:sz="8" w:space="4" w:color="44546A"/>
        </w:pBdr>
      </w:pPr>
      <w:r>
        <w:t>Core principle</w:t>
      </w:r>
    </w:p>
    <w:p>
      <w:r>
        <w:rPr>
          <w:b w:val="0"/>
          <w:i w:val="0"/>
        </w:rPr>
        <w:t>Strong, clear, direct arguments. No verbal disputes. No editorializing. Claude's default draft style tends to over-hedge, over-qualify, and over-frame. Each argument should be stated forcefully and defended on substance, not buried in framing.</w:t>
      </w:r>
    </w:p>
    <w:p>
      <w:pPr>
        <w:pStyle w:val="Heading1"/>
        <w:pBdr>
          <w:bottom w:val="single" w:sz="8" w:space="4" w:color="44546A"/>
        </w:pBdr>
      </w:pPr>
      <w:r>
        <w:t>Structure within sections (default for argumentative papers — confirm at setup)</w:t>
      </w:r>
    </w:p>
    <w:p>
      <w:r>
        <w:rPr>
          <w:b w:val="0"/>
          <w:i w:val="0"/>
        </w:rPr>
        <w:t>Often, but not always, each substantive section or subsection has 3–5 affirmative arguments, each one paragraph. Use explicit numbering: "First, … Second, … Third, …" within the relevant level.</w:t>
      </w:r>
    </w:p>
    <w:p>
      <w:r>
        <w:rPr>
          <w:b w:val="0"/>
          <w:i w:val="0"/>
        </w:rPr>
        <w:t>Often, but not always, after the affirmative arguments, engage 3–5 objections, one paragraph each. "The first objection is X. … The second objection is Y. …" Brief steelman, then direct response.</w:t>
      </w:r>
    </w:p>
    <w:p>
      <w:r>
        <w:rPr>
          <w:b w:val="0"/>
          <w:i w:val="0"/>
        </w:rPr>
        <w:t>Big-picture objections to the whole proposal can get their own section. But local objections — objections to a specific argument — live in the section or subsection with that argument, not in a separate objections chapter.</w:t>
      </w:r>
    </w:p>
    <w:p>
      <w:r>
        <w:rPr>
          <w:b w:val="0"/>
          <w:i w:val="0"/>
        </w:rPr>
        <w:t>Don't pad. If a section has only one or two real objections, engage those and move on. Canvas the important objections; don't add filler to round out the count.</w:t>
      </w:r>
    </w:p>
    <w:p>
      <w:pPr>
        <w:pStyle w:val="Heading1"/>
        <w:pBdr>
          <w:bottom w:val="single" w:sz="8" w:space="4" w:color="44546A"/>
        </w:pBdr>
      </w:pPr>
      <w:r>
        <w:t>What dialectical engagement should look like</w:t>
      </w:r>
    </w:p>
    <w:p>
      <w:r>
        <w:rPr>
          <w:b w:val="0"/>
          <w:i w:val="0"/>
        </w:rPr>
        <w:t>The kind to produce: state the opposing view briefly and faithfully, then explain why it fails. "It is true that X. Nonetheless, Y." Done in a paragraph; move on. (That said, don't overuse any one literal pattern.)</w:t>
      </w:r>
    </w:p>
    <w:p>
      <w:r>
        <w:rPr>
          <w:b w:val="0"/>
          <w:i w:val="0"/>
        </w:rPr>
        <w:t>The kind to avoid: "Some have argued X, but what they really mean is X′, which differs from X in that it relies on assumption A. If A is interpreted strictly, then… but if A is interpreted broadly, then…" This is a verbal dispute. The reader doesn't care.</w:t>
      </w:r>
    </w:p>
    <w:p>
      <w:r>
        <w:rPr>
          <w:b w:val="0"/>
          <w:i w:val="0"/>
        </w:rPr>
        <w:t>If an opponent's position is unclear, take the strongest natural reading and respond to that. If multiple readings matter, footnote them.</w:t>
      </w:r>
    </w:p>
    <w:p>
      <w:pPr>
        <w:pStyle w:val="Heading1"/>
        <w:pBdr>
          <w:bottom w:val="single" w:sz="8" w:space="4" w:color="44546A"/>
        </w:pBdr>
      </w:pPr>
      <w:r>
        <w:t>Sentence-level discipline</w:t>
      </w:r>
    </w:p>
    <w:p>
      <w:pPr>
        <w:pStyle w:val="ListBullet"/>
      </w:pPr>
      <w:r>
        <w:rPr>
          <w:b w:val="0"/>
          <w:i w:val="0"/>
        </w:rPr>
        <w:t>One move per sentence. Multiple subordinate clauses pile up fast. Pick the main move and make it.</w:t>
      </w:r>
    </w:p>
    <w:p>
      <w:pPr>
        <w:pStyle w:val="ListBullet"/>
      </w:pPr>
      <w:r>
        <w:rPr>
          <w:b w:val="0"/>
          <w:i w:val="0"/>
        </w:rPr>
        <w:t>Em-dash asides need to earn their place. "The firm's decisionmakers — board members, executives, shareholders — make release decisions" should become "Firm decisionmakers make release decisions." If the aside does real work, keep it; usually it doesn't.</w:t>
      </w:r>
    </w:p>
    <w:p>
      <w:pPr>
        <w:pStyle w:val="ListBullet"/>
      </w:pPr>
      <w:r>
        <w:rPr>
          <w:b w:val="0"/>
          <w:i w:val="0"/>
        </w:rPr>
        <w:t>Cut filler. "In the first instance," "it is worth noting," "as we shall see," "we acknowledge," "broadly speaking" — these signal hedging without adding information.</w:t>
      </w:r>
    </w:p>
    <w:p>
      <w:pPr>
        <w:pStyle w:val="ListBullet"/>
      </w:pPr>
      <w:r>
        <w:rPr>
          <w:b w:val="0"/>
          <w:i w:val="0"/>
        </w:rPr>
        <w:t>Cut bloat. "X supplies the most useful overview" / "Y provides a helpful framework" — introductions that don't say anything. Engage the substance directly.</w:t>
      </w:r>
    </w:p>
    <w:p>
      <w:pPr>
        <w:pStyle w:val="Heading1"/>
        <w:pBdr>
          <w:bottom w:val="single" w:sz="8" w:space="4" w:color="44546A"/>
        </w:pBdr>
      </w:pPr>
      <w:r>
        <w:t>Editorializing — what to cut</w:t>
      </w:r>
    </w:p>
    <w:p>
      <w:pPr>
        <w:pStyle w:val="ListBullet"/>
      </w:pPr>
      <w:r>
        <w:rPr>
          <w:b w:val="0"/>
          <w:i w:val="0"/>
        </w:rPr>
        <w:t>Meta-statements about which argument is harder or stronger. "The strongest objection is…" "The hardest version of the worry is…" Let arguments stand on their own; the reader will form a view.</w:t>
      </w:r>
    </w:p>
    <w:p>
      <w:pPr>
        <w:pStyle w:val="ListBullet"/>
      </w:pPr>
      <w:r>
        <w:rPr>
          <w:b w:val="0"/>
          <w:i w:val="0"/>
        </w:rPr>
        <w:t>Pacing sentences. "We have shown X. We now turn to Y." Section structure already does this work.</w:t>
      </w:r>
    </w:p>
    <w:p>
      <w:pPr>
        <w:pStyle w:val="ListBullet"/>
      </w:pPr>
      <w:r>
        <w:rPr>
          <w:b w:val="0"/>
          <w:i w:val="0"/>
        </w:rPr>
        <w:t>Self-referential commentary. "We are arguing here that…" "The point of this section is to…" Just make the argument.</w:t>
      </w:r>
    </w:p>
    <w:p>
      <w:pPr>
        <w:pStyle w:val="ListBullet"/>
      </w:pPr>
      <w:r>
        <w:rPr>
          <w:b w:val="0"/>
          <w:i w:val="0"/>
        </w:rPr>
        <w:t>Reassuring the reader. "We take seriously the concern that…" Engage the concern directly; don't preface the engagement.</w:t>
      </w:r>
    </w:p>
    <w:p>
      <w:r>
        <w:rPr>
          <w:b w:val="0"/>
          <w:i w:val="0"/>
        </w:rPr>
        <w:t>Instead of this stuff, use simple idea-based signposting at the start of sections, saying very quickly what will happen.</w:t>
      </w:r>
    </w:p>
    <w:p>
      <w:pPr>
        <w:pStyle w:val="Heading1"/>
        <w:pBdr>
          <w:bottom w:val="single" w:sz="8" w:space="4" w:color="44546A"/>
        </w:pBdr>
      </w:pPr>
      <w:r>
        <w:t>Common Claude failure modes to watch for</w:t>
      </w:r>
    </w:p>
    <w:p>
      <w:r>
        <w:rPr>
          <w:b w:val="0"/>
          <w:i w:val="0"/>
        </w:rPr>
        <w:t>These show up across projects and across drafts. Catch them on your own review passes.</w:t>
      </w:r>
    </w:p>
    <w:p>
      <w:pPr>
        <w:pStyle w:val="ListBullet"/>
      </w:pPr>
      <w:r>
        <w:rPr>
          <w:b w:val="0"/>
          <w:i w:val="0"/>
        </w:rPr>
        <w:t>Repetition of main claims — the #1 failure mode. The same point made in three sections under three framings. Each argument should appear in exactly one place; downstream sections cross-reference rather than re-argue.</w:t>
      </w:r>
    </w:p>
    <w:p>
      <w:pPr>
        <w:pStyle w:val="ListBullet"/>
      </w:pPr>
      <w:r>
        <w:rPr>
          <w:b w:val="0"/>
          <w:i w:val="0"/>
        </w:rPr>
        <w:t>Over-editorializing rather than direct arguing. Commenting on the argumentation rather than making it.</w:t>
      </w:r>
    </w:p>
    <w:p>
      <w:pPr>
        <w:pStyle w:val="ListBullet"/>
      </w:pPr>
      <w:r>
        <w:rPr>
          <w:b w:val="0"/>
          <w:i w:val="0"/>
        </w:rPr>
        <w:t>Long-winded sentences. Em-dashes and parentheticals stacking up; one sentence doing the work of three.</w:t>
      </w:r>
    </w:p>
    <w:p>
      <w:pPr>
        <w:pStyle w:val="ListBullet"/>
      </w:pPr>
      <w:r>
        <w:rPr>
          <w:b w:val="0"/>
          <w:i w:val="0"/>
        </w:rPr>
        <w:t>Bloated, padded prose. Sentences that introduce or frame without saying anything substantive.</w:t>
      </w:r>
    </w:p>
    <w:p>
      <w:pPr>
        <w:pStyle w:val="Heading1"/>
        <w:pBdr>
          <w:bottom w:val="single" w:sz="8" w:space="4" w:color="44546A"/>
        </w:pBdr>
      </w:pPr>
      <w:r>
        <w:t>At draft stage</w:t>
      </w:r>
    </w:p>
    <w:p>
      <w:pPr>
        <w:pStyle w:val="ListBullet"/>
      </w:pPr>
      <w:r>
        <w:rPr>
          <w:b w:val="0"/>
          <w:i w:val="0"/>
        </w:rPr>
        <w:t>Focus on argument quality, not length targets. Word counts come later (one light pass near the end — see the Pipeline).</w:t>
      </w:r>
    </w:p>
    <w:p>
      <w:pPr>
        <w:pStyle w:val="ListBullet"/>
      </w:pPr>
      <w:r>
        <w:rPr>
          <w:b w:val="0"/>
          <w:i w:val="0"/>
        </w:rPr>
        <w:t>Citations can be parenthetical placeholders ("Smith 2024"); the proper apparatus comes in a later pass, verified against real sources.</w:t>
      </w:r>
    </w:p>
    <w:p>
      <w:pPr>
        <w:pStyle w:val="ListBullet"/>
      </w:pPr>
      <w:r>
        <w:rPr>
          <w:b w:val="0"/>
          <w:i w:val="0"/>
        </w:rPr>
        <w:t>Build up in layers: short outline → detailed outline → paragraph-by-paragraph long-form outline → prose. The intermediate layers catch structural redundancy before it gets baked into prose.</w:t>
      </w:r>
    </w:p>
    <w:p>
      <w:pPr>
        <w:pStyle w:val="ListBullet"/>
      </w:pPr>
      <w:r>
        <w:rPr>
          <w:b w:val="0"/>
          <w:i w:val="0"/>
        </w:rPr>
        <w:t>When the author edits a document and sends it back, those edits set the direction. Never revert to a formulation the author overruled. If you see differences from what you produced, that is because the author made them on purpose.</w:t>
      </w:r>
    </w:p>
    <w:p>
      <w:pPr>
        <w:pStyle w:val="Heading1"/>
        <w:pBdr>
          <w:bottom w:val="single" w:sz="8" w:space="4" w:color="44546A"/>
        </w:pBdr>
      </w:pPr>
      <w:r>
        <w:t>Model prose</w:t>
      </w:r>
    </w:p>
    <w:p>
      <w:r>
        <w:rPr>
          <w:b w:val="0"/>
          <w:i w:val="0"/>
        </w:rPr>
        <w:t>Before drafting, read the closest example in the Model Prose Library (General Guide to Academic Writing/Model Prose Library/) IN FULL — the author's own papers, cataloged with what to imitate in each. Read for register and sentence shapes, never for content: don't import material from the model paper into the draft. The Voice Profile distills the sentence-level patterns; the model papers show them live.</w:t>
      </w:r>
    </w:p>
    <w:p>
      <w:pPr>
        <w:pStyle w:val="Heading1"/>
        <w:pBdr>
          <w:bottom w:val="single" w:sz="8" w:space="4" w:color="44546A"/>
        </w:pBdr>
      </w:pPr>
      <w:r>
        <w:t>Quick self-review checklist</w:t>
      </w:r>
    </w:p>
    <w:p>
      <w:r>
        <w:rPr>
          <w:b w:val="0"/>
          <w:i w:val="0"/>
        </w:rPr>
        <w:t>Before sending a draft, ask:</w:t>
      </w:r>
    </w:p>
    <w:p>
      <w:pPr>
        <w:pStyle w:val="ListBullet"/>
      </w:pPr>
      <w:r>
        <w:rPr>
          <w:b w:val="0"/>
          <w:i w:val="0"/>
        </w:rPr>
        <w:t>Does each argument appear in exactly one place?</w:t>
      </w:r>
    </w:p>
    <w:p>
      <w:pPr>
        <w:pStyle w:val="ListBullet"/>
      </w:pPr>
      <w:r>
        <w:rPr>
          <w:b w:val="0"/>
          <w:i w:val="0"/>
        </w:rPr>
        <w:t>Does each paragraph make one argument?</w:t>
      </w:r>
    </w:p>
    <w:p>
      <w:pPr>
        <w:pStyle w:val="ListBullet"/>
      </w:pPr>
      <w:r>
        <w:rPr>
          <w:b w:val="0"/>
          <w:i w:val="0"/>
        </w:rPr>
        <w:t>Does each sentence make one move?</w:t>
      </w:r>
    </w:p>
    <w:p>
      <w:pPr>
        <w:pStyle w:val="ListBullet"/>
      </w:pPr>
      <w:r>
        <w:rPr>
          <w:b w:val="0"/>
          <w:i w:val="0"/>
        </w:rPr>
        <w:t>Am I editorializing about the argumentation, or just making it?</w:t>
      </w:r>
    </w:p>
    <w:p>
      <w:pPr>
        <w:pStyle w:val="ListBullet"/>
      </w:pPr>
      <w:r>
        <w:rPr>
          <w:b w:val="0"/>
          <w:i w:val="0"/>
        </w:rPr>
        <w:t>Am I getting bogged down in verbal disputes, or engaging the substance?</w:t>
      </w:r>
    </w:p>
    <w:p>
      <w:pPr>
        <w:pStyle w:val="ListBullet"/>
      </w:pPr>
      <w:r>
        <w:rPr>
          <w:b w:val="0"/>
          <w:i w:val="0"/>
        </w:rPr>
        <w:t>Have I cut every "it is worth noting," "in the first instance," "as we shall see," and similar filler?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864" w:bottom="1152" w:left="86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C9D6DC"/>
      </w:pBdr>
      <w:tabs>
        <w:tab w:pos="10512" w:val="right"/>
      </w:tabs>
    </w:pPr>
    <w:r>
      <w:rPr>
        <w:rFonts w:ascii="Calibri" w:hAnsi="Calibri"/>
        <w:b w:val="0"/>
        <w:i w:val="0"/>
        <w:color w:val="707070"/>
        <w:sz w:val="17"/>
      </w:rPr>
      <w:t>Deep Drafter   |   Writing Guide — House Style</w:t>
      <w:tab/>
    </w:r>
    <w:r>
      <w:rPr>
        <w:rFonts w:ascii="Calibri" w:hAnsi="Calibri"/>
        <w:b w:val="0"/>
        <w:i w:val="0"/>
        <w:color w:val="707070"/>
        <w:sz w:val="17"/>
      </w:rPr>
      <w:t xml:space="preserve">Page </w:t>
    </w:r>
    <w:r>
      <w:rPr>
        <w:rFonts w:ascii="Calibri" w:hAnsi="Calibri"/>
        <w:b w:val="0"/>
        <w:i w:val="0"/>
        <w:color w:val="707070"/>
        <w:sz w:val="17"/>
      </w:rPr>
      <w:fldChar w:fldCharType="begin"/>
    </w:r>
    <w:r>
      <w:rPr>
        <w:rFonts w:ascii="Calibri" w:hAnsi="Calibri"/>
        <w:b w:val="0"/>
        <w:i w:val="0"/>
        <w:color w:val="707070"/>
        <w:sz w:val="17"/>
      </w:rPr>
      <w:instrText xml:space="preserve"> PAGE </w:instrText>
    </w:r>
    <w:r>
      <w:rPr>
        <w:rFonts w:ascii="Calibri" w:hAnsi="Calibri"/>
        <w:b w:val="0"/>
        <w:i w:val="0"/>
        <w:color w:val="707070"/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  <w:pBdr>
        <w:bottom w:val="single" w:sz="4" w:space="4" w:color="C9D6DC"/>
      </w:pBdr>
    </w:pPr>
    <w:r>
      <w:rPr>
        <w:rFonts w:ascii="Calibri" w:hAnsi="Calibri"/>
        <w:b w:val="0"/>
        <w:i w:val="0"/>
        <w:color w:val="707070"/>
        <w:sz w:val="17"/>
      </w:rPr>
      <w:t>Deep Drafter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4454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454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546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