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1799C" w14:textId="77777777" w:rsidR="00805402" w:rsidRDefault="00000000">
      <w:pPr>
        <w:spacing w:after="360"/>
        <w:jc w:val="center"/>
      </w:pPr>
      <w:r>
        <w:rPr>
          <w:rFonts w:ascii="Arial" w:hAnsi="Arial"/>
          <w:b/>
          <w:sz w:val="32"/>
        </w:rPr>
        <w:t>Against Ghost Authorship</w:t>
      </w:r>
    </w:p>
    <w:p w14:paraId="05B33968" w14:textId="15D46D3B" w:rsidR="00805402" w:rsidRDefault="00805402">
      <w:pPr>
        <w:spacing w:after="160"/>
      </w:pPr>
    </w:p>
    <w:p w14:paraId="47ADF531" w14:textId="77777777" w:rsidR="00805402" w:rsidRDefault="00000000">
      <w:pPr>
        <w:spacing w:before="200" w:after="80"/>
      </w:pPr>
      <w:r>
        <w:rPr>
          <w:rFonts w:ascii="Arial" w:hAnsi="Arial"/>
          <w:b/>
          <w:sz w:val="24"/>
        </w:rPr>
        <w:t>Abstract</w:t>
      </w:r>
    </w:p>
    <w:p w14:paraId="77A42B4B" w14:textId="77777777" w:rsidR="00805402" w:rsidRDefault="00000000">
      <w:pPr>
        <w:spacing w:after="160"/>
      </w:pPr>
      <w:r>
        <w:rPr>
          <w:rFonts w:ascii="Arial" w:hAnsi="Arial"/>
        </w:rPr>
        <w:t xml:space="preserve">This Article argues that ghost authorship should be illegal. The most obvious critique of ghost authorship is that it exploits ghost authors. This Article instead makes an economic objection. Ghost authorship degrades the economic signal of authorship. The authorship signal has three functions. It tells buyers what they are buying, tells the labor market who can write, and tells the public what to believe. Ghost authorship sells and thereby weakens this signal. This creates three injuries: a market for lemons in expertise publishing, the erosion of the public track records through which writing becomes a career, and weakening of information about expertise in the broader public. Because these injured parties are outside the ghost contract, and the harms are widely dispersed, private law cannot address the problem. The problem has been made worse by AI, which has lowered the cost of ghost production. The Article proposes an escalating ladder of remedies: disclosure of ghost assistance, mandatory attribution, and a publicly enforced prohibition on paid false. </w:t>
      </w:r>
    </w:p>
    <w:p w14:paraId="701DDBEC" w14:textId="77777777" w:rsidR="00805402" w:rsidRDefault="00000000">
      <w:pPr>
        <w:spacing w:before="280" w:after="120"/>
      </w:pPr>
      <w:r>
        <w:rPr>
          <w:rFonts w:ascii="Arial" w:hAnsi="Arial"/>
          <w:b/>
          <w:sz w:val="26"/>
        </w:rPr>
        <w:t>I. Introduction</w:t>
      </w:r>
    </w:p>
    <w:p w14:paraId="448ADA5B" w14:textId="1772C46F" w:rsidR="00805402" w:rsidRDefault="00000000">
      <w:pPr>
        <w:spacing w:after="160"/>
      </w:pPr>
      <w:r>
        <w:rPr>
          <w:rFonts w:ascii="Arial" w:hAnsi="Arial"/>
        </w:rPr>
        <w:t>The fastest-selling memoir in publishing history was written by a ghost author. Prince Harry supplied the subject; the novelist J.R. Moehringer wrote the book; the cover says Harry wrote it.</w:t>
      </w:r>
      <w:r>
        <w:rPr>
          <w:rFonts w:ascii="Arial" w:hAnsi="Arial"/>
          <w:vertAlign w:val="superscript"/>
        </w:rPr>
        <w:footnoteReference w:id="1"/>
      </w:r>
      <w:r>
        <w:rPr>
          <w:rFonts w:ascii="Arial" w:hAnsi="Arial"/>
        </w:rPr>
        <w:t xml:space="preserve"> The arrangement was not new. </w:t>
      </w:r>
      <w:r>
        <w:rPr>
          <w:rFonts w:ascii="Arial" w:hAnsi="Arial"/>
          <w:i/>
        </w:rPr>
        <w:t>Profiles in Courage</w:t>
      </w:r>
      <w:r>
        <w:rPr>
          <w:rFonts w:ascii="Arial" w:hAnsi="Arial"/>
        </w:rPr>
        <w:t xml:space="preserve"> won the 1957 Pulitzer Prize for biography under John F. Kennedy's name, but was drafted in large part by Theodore Sorensen, on Sorensen's own account.</w:t>
      </w:r>
      <w:r>
        <w:rPr>
          <w:rFonts w:ascii="Arial" w:hAnsi="Arial"/>
          <w:vertAlign w:val="superscript"/>
        </w:rPr>
        <w:footnoteReference w:id="2"/>
      </w:r>
    </w:p>
    <w:p w14:paraId="1DE7A502" w14:textId="77777777" w:rsidR="00805402" w:rsidRDefault="00000000">
      <w:pPr>
        <w:spacing w:after="160"/>
      </w:pPr>
      <w:r>
        <w:rPr>
          <w:rFonts w:ascii="Arial" w:hAnsi="Arial"/>
        </w:rPr>
        <w:t>Ghost authoring is endemic to publishing. Chief executives, founders, and policymakers publish books in their own name written by other people. Those books function as credentials in markets far from the bookstore.</w:t>
      </w:r>
      <w:r>
        <w:rPr>
          <w:rFonts w:ascii="Arial" w:hAnsi="Arial"/>
          <w:vertAlign w:val="superscript"/>
        </w:rPr>
        <w:footnoteReference w:id="3"/>
      </w:r>
      <w:r>
        <w:rPr>
          <w:rFonts w:ascii="Arial" w:hAnsi="Arial"/>
        </w:rPr>
        <w:t xml:space="preserve"> Fiction is produced in factories: V.C. Andrews novels appeared for decades after V.C. Andrews died in 1986, written by a hired novelist under her name.</w:t>
      </w:r>
      <w:r>
        <w:rPr>
          <w:rFonts w:ascii="Arial" w:hAnsi="Arial"/>
          <w:vertAlign w:val="superscript"/>
        </w:rPr>
        <w:footnoteReference w:id="4"/>
      </w:r>
      <w:r>
        <w:rPr>
          <w:rFonts w:ascii="Arial" w:hAnsi="Arial"/>
        </w:rPr>
        <w:t xml:space="preserve"> The </w:t>
      </w:r>
      <w:r>
        <w:rPr>
          <w:rFonts w:ascii="Arial" w:hAnsi="Arial"/>
        </w:rPr>
        <w:lastRenderedPageBreak/>
        <w:t>practice has a long past. In 1951, the comedian Milton Berle commissioned a serious novel from a professional writer, to be published and advertised as Berle's alone; the deal collapsed into litigation.</w:t>
      </w:r>
      <w:r>
        <w:rPr>
          <w:rFonts w:ascii="Arial" w:hAnsi="Arial"/>
          <w:vertAlign w:val="superscript"/>
        </w:rPr>
        <w:footnoteReference w:id="5"/>
      </w:r>
      <w:r>
        <w:rPr>
          <w:rFonts w:ascii="Arial" w:hAnsi="Arial"/>
        </w:rPr>
        <w:t xml:space="preserve"> And it has a future: AIs now draft books published under human bylines, at a marginal cost approaching zero.</w:t>
      </w:r>
      <w:r>
        <w:rPr>
          <w:rFonts w:ascii="Arial" w:hAnsi="Arial"/>
          <w:vertAlign w:val="superscript"/>
        </w:rPr>
        <w:footnoteReference w:id="6"/>
      </w:r>
    </w:p>
    <w:p w14:paraId="5AB2104C" w14:textId="77777777" w:rsidR="00805402" w:rsidRDefault="00000000">
      <w:pPr>
        <w:spacing w:after="160"/>
      </w:pPr>
      <w:r>
        <w:rPr>
          <w:rFonts w:ascii="Arial" w:hAnsi="Arial"/>
        </w:rPr>
        <w:t>All of this is lawful. Copyright law lets the parties arrange authorship by contract: ghost deals are drafted as work for hire where the statute allows it, and as an assignment of the ghost's rights everywhere else, and either way the buyer ends up holding the work.</w:t>
      </w:r>
      <w:r>
        <w:rPr>
          <w:rFonts w:ascii="Arial" w:hAnsi="Arial"/>
          <w:vertAlign w:val="superscript"/>
        </w:rPr>
        <w:footnoteReference w:id="7"/>
      </w:r>
      <w:r>
        <w:rPr>
          <w:rFonts w:ascii="Arial" w:hAnsi="Arial"/>
        </w:rPr>
        <w:t xml:space="preserve"> The Supreme Court has held that federal unfair-competition law does not reach false claims of authorship as such.</w:t>
      </w:r>
      <w:r>
        <w:rPr>
          <w:rFonts w:ascii="Arial" w:hAnsi="Arial"/>
          <w:vertAlign w:val="superscript"/>
        </w:rPr>
        <w:footnoteReference w:id="8"/>
      </w:r>
      <w:r>
        <w:rPr>
          <w:rFonts w:ascii="Arial" w:hAnsi="Arial"/>
        </w:rPr>
        <w:t xml:space="preserve"> And the practice is big. Industry estimates put ghostwriting at sixty to ninety percent of celebrity and bestseller nonfiction; in medicine, ghost authorship ran to 7.9 percent of articles in six leading journals.</w:t>
      </w:r>
      <w:r>
        <w:rPr>
          <w:rFonts w:ascii="Arial" w:hAnsi="Arial"/>
          <w:vertAlign w:val="superscript"/>
        </w:rPr>
        <w:footnoteReference w:id="9"/>
      </w:r>
    </w:p>
    <w:p w14:paraId="7C2813E4" w14:textId="77777777" w:rsidR="00805402" w:rsidRDefault="00000000">
      <w:pPr>
        <w:spacing w:after="160"/>
      </w:pPr>
      <w:r>
        <w:rPr>
          <w:rFonts w:ascii="Arial" w:hAnsi="Arial"/>
        </w:rPr>
        <w:t>This paper argues against ghost authorship. Why suspect ghost authorship in the first place? The practice is built on concealment: the parties pay to keep the byline's real story out of sight, and sellers who conceal a fact about their product usually conceal it because buyers would care.</w:t>
      </w:r>
      <w:r>
        <w:rPr>
          <w:rFonts w:ascii="Arial" w:hAnsi="Arial"/>
          <w:vertAlign w:val="superscript"/>
        </w:rPr>
        <w:footnoteReference w:id="10"/>
      </w:r>
    </w:p>
    <w:p w14:paraId="288FFB54" w14:textId="5D899E23" w:rsidR="00805402" w:rsidRDefault="00000000">
      <w:pPr>
        <w:spacing w:after="160"/>
      </w:pPr>
      <w:r>
        <w:rPr>
          <w:rFonts w:ascii="Arial" w:hAnsi="Arial"/>
        </w:rPr>
        <w:t xml:space="preserve">At first glance, the most obvious objection to ghost authorship is that it exploits the ghost author. </w:t>
      </w:r>
      <w:r w:rsidR="000D4EFE">
        <w:rPr>
          <w:rFonts w:ascii="Arial" w:hAnsi="Arial"/>
        </w:rPr>
        <w:t>This Article</w:t>
      </w:r>
      <w:r>
        <w:rPr>
          <w:rFonts w:ascii="Arial" w:hAnsi="Arial"/>
        </w:rPr>
        <w:t xml:space="preserve"> will instead offer an economic critique of ghost authorship. </w:t>
      </w:r>
      <w:r w:rsidR="000D4EFE">
        <w:rPr>
          <w:rFonts w:ascii="Arial" w:hAnsi="Arial"/>
        </w:rPr>
        <w:t xml:space="preserve">The argument is that </w:t>
      </w:r>
      <w:r>
        <w:rPr>
          <w:rFonts w:ascii="Arial" w:hAnsi="Arial"/>
        </w:rPr>
        <w:t xml:space="preserve">ghost authorship distorts the authorship signal, the information a name on a book carries about who wrote it. This produces three kinds of problems: on the demand-side, for those who buy books; on the supply-side, for those who produce books; and for third parties to the sale of books. On the demand side, the problem is that ghost authorship creates a “market for lemons.” Buyers use the author’s name to judge quality before they pay; ghost authorship makes it harder to judge quality. On the supply side, the problem is that ghost authorship weakens the supply of human capital in writing. Attributed work is how the market learns who can write, and ghost contracts stop the learning. For third parties, ghost authorship weakens the ability of the broader public to judge the quality of information from reputation. For everyone who never buys the book, the byline is testimony about who stands behind a claim, and ghost authorship makes </w:t>
      </w:r>
      <w:r>
        <w:rPr>
          <w:rFonts w:ascii="Arial" w:hAnsi="Arial"/>
        </w:rPr>
        <w:lastRenderedPageBreak/>
        <w:t>the testimony false. In this way, ghost authorship systematically distorts authorship signals in a way that has multiple different market effects. I argue that private markets will not solve these problems without government intervention, because the challenges are external to the transactions that define ghost authorship. I propose and explore three solutions: mandatory disclosure of ghost assistance, mandatory attribution of authorship, and a prohibition on paid false bylines.</w:t>
      </w:r>
    </w:p>
    <w:p w14:paraId="36A995C4" w14:textId="77777777" w:rsidR="00805402" w:rsidRDefault="00000000">
      <w:pPr>
        <w:spacing w:after="160"/>
      </w:pPr>
      <w:r>
        <w:rPr>
          <w:rFonts w:ascii="Arial" w:hAnsi="Arial"/>
        </w:rPr>
        <w:t>Take the demand side first. Books are experience goods: a reader learns what a book was worth only after buying and reading it, and for books that claim expertise she may not be able to judge even then. Before the purchase, the author's name is the principal evidence of quality.</w:t>
      </w:r>
      <w:r>
        <w:rPr>
          <w:rFonts w:ascii="Arial" w:hAnsi="Arial"/>
          <w:vertAlign w:val="superscript"/>
        </w:rPr>
        <w:footnoteReference w:id="11"/>
      </w:r>
      <w:r>
        <w:rPr>
          <w:rFonts w:ascii="Arial" w:hAnsi="Arial"/>
        </w:rPr>
        <w:t xml:space="preserve"> Ghost authorship breaks the link between the name and the writing: anyone who can pay can present as an author. When buyers cannot tell earned bylines from purchased ones, they discount all of them, the discount under-rewards the authors who earned their names, and the market for expertise books pools toward lemons.</w:t>
      </w:r>
    </w:p>
    <w:p w14:paraId="22E34849" w14:textId="77777777" w:rsidR="00805402" w:rsidRDefault="00000000">
      <w:pPr>
        <w:spacing w:after="160"/>
      </w:pPr>
      <w:r>
        <w:rPr>
          <w:rFonts w:ascii="Arial" w:hAnsi="Arial"/>
        </w:rPr>
        <w:t>Next, the supply side. Attribution is how writing ability becomes human capital. A writer's published track record is the labor market's evidence of what she can do.</w:t>
      </w:r>
      <w:r>
        <w:rPr>
          <w:rFonts w:ascii="Arial" w:hAnsi="Arial"/>
          <w:vertAlign w:val="superscript"/>
        </w:rPr>
        <w:footnoteReference w:id="12"/>
      </w:r>
      <w:r>
        <w:rPr>
          <w:rFonts w:ascii="Arial" w:hAnsi="Arial"/>
        </w:rPr>
        <w:t xml:space="preserve"> A ghost contract severs the writer from the track record her work would have built: the book improves the named author's name and leaves the actual writer's exactly where it was. The cost is not the ghost's: she is paid, and paid what she asked. The cost is the market's. It stops producing the public information about who writes well, so writing careers stop compounding, and the allocation of writing talent degrades: the public record that matches writers to work stops being written.</w:t>
      </w:r>
    </w:p>
    <w:p w14:paraId="0458E852" w14:textId="77777777" w:rsidR="00805402" w:rsidRDefault="00000000">
      <w:pPr>
        <w:spacing w:after="160"/>
      </w:pPr>
      <w:r>
        <w:rPr>
          <w:rFonts w:ascii="Arial" w:hAnsi="Arial"/>
        </w:rPr>
        <w:t>Finally, third parties. For people who never buy the book, the byline is not evidence about a product. It is testimony. Reviews, citations, and journalism circulate the claim that a named person holds and stands behind a book's views, and audiences act on that claim without ever opening the book. Ghost authorship breaks this at both ends. Authority is fabricated on the way in: decisions across society (prescriptions written, board seats filled, votes cast) are taken on expertise nobody exercised. And the discourse cannot correct itself afterward: being wrong under your own name is what disciplines public claims, and a bought byline lets the named author shed the claim while the actual author never held it. No buyer-level disclosure reaches these people, because they never see the point of sale.</w:t>
      </w:r>
    </w:p>
    <w:p w14:paraId="61D5566C" w14:textId="77777777" w:rsidR="00805402" w:rsidRDefault="00000000">
      <w:pPr>
        <w:spacing w:after="160"/>
      </w:pPr>
      <w:r>
        <w:rPr>
          <w:rFonts w:ascii="Arial" w:hAnsi="Arial"/>
        </w:rPr>
        <w:t>This is not a moral-rights argument. A long literature argues that attribution matters to authors as a matter of personality or desert. That objection struggles with consent: the ghost sold her credit, willingly and for pay. Other existing critiques are that ghostwriting deceives readers, and that it defrauds the institutions that rely on authorship.</w:t>
      </w:r>
      <w:r>
        <w:rPr>
          <w:rFonts w:ascii="Arial" w:hAnsi="Arial"/>
          <w:vertAlign w:val="superscript"/>
        </w:rPr>
        <w:footnoteReference w:id="13"/>
      </w:r>
      <w:r>
        <w:rPr>
          <w:rFonts w:ascii="Arial" w:hAnsi="Arial"/>
        </w:rPr>
        <w:t xml:space="preserve"> This is correct, but incomplete. These objections engage only with the transactional component of the harm, and so they reach for </w:t>
      </w:r>
      <w:r>
        <w:rPr>
          <w:rFonts w:ascii="Arial" w:hAnsi="Arial"/>
        </w:rPr>
        <w:lastRenderedPageBreak/>
        <w:t>remedies that need an identifiable, transactional victim. By contrast, this Article focuses on a wider set of structural harms, and offers solutions that do not depend on a consenting plaintiff.</w:t>
      </w:r>
    </w:p>
    <w:p w14:paraId="506155C2" w14:textId="77777777" w:rsidR="00805402" w:rsidRDefault="00000000">
      <w:pPr>
        <w:spacing w:after="160"/>
      </w:pPr>
      <w:r>
        <w:rPr>
          <w:rFonts w:ascii="Arial" w:hAnsi="Arial"/>
        </w:rPr>
        <w:t>The question is timely. AI has industrialized ghost production: the marginal cost of a drafted book is collapsing toward zero, and the supply of purchasable bylines is no longer limited by the supply of human ghosts. The regulatory conversation about disclosure mandates, authorship rules, and registration requirements is happening now, in copyright offices and legislatures, without an economic diagnosis of what, exactly, is wrong with selling a byline.</w:t>
      </w:r>
      <w:r>
        <w:rPr>
          <w:rFonts w:ascii="Arial" w:hAnsi="Arial"/>
          <w:vertAlign w:val="superscript"/>
        </w:rPr>
        <w:footnoteReference w:id="14"/>
      </w:r>
      <w:r>
        <w:rPr>
          <w:rFonts w:ascii="Arial" w:hAnsi="Arial"/>
        </w:rPr>
        <w:t xml:space="preserve"> But the optimal regulations depend on an economic analysis of ghost authorship. For example, if the problem is buyer deception, then mandatory disclosure is a solution. By contrast, this Article will argue (in Part VIII) that the larger problem of weakened authorship signals is not fully addressed by mandatory disclosure alone.</w:t>
      </w:r>
    </w:p>
    <w:p w14:paraId="4123DC3A" w14:textId="77777777" w:rsidR="00805402" w:rsidRDefault="00000000">
      <w:pPr>
        <w:spacing w:after="160"/>
      </w:pPr>
      <w:r>
        <w:rPr>
          <w:rFonts w:ascii="Arial" w:hAnsi="Arial"/>
        </w:rPr>
        <w:t>The Article also addresses four important objections to the argument.</w:t>
      </w:r>
    </w:p>
    <w:p w14:paraId="17C4745D" w14:textId="77777777" w:rsidR="00805402" w:rsidRDefault="00000000">
      <w:pPr>
        <w:spacing w:after="160"/>
      </w:pPr>
      <w:r>
        <w:rPr>
          <w:rFonts w:ascii="Arial" w:hAnsi="Arial"/>
        </w:rPr>
        <w:t>First: ghost authorship is a transaction among consenting adults. The problem, though, is that this excludes effects to parties outside of the transaction. Second: the named author often contributes a lot to ghost authored books, and so the byline is not really false. Sometimes; and where the principal's contribution is genuine and substantial, this Article's rules do not reach the arrangement. But the market itself prices the difference between "authored" and "assisted": cover credit lowers the ghost's fee. The question is how this additional, hidden contribution impacts authorship signals. Third: where is the evidence of actual harm? Here, the point is that all of the economic effects relied on are standard for any market with degraded information signals. In addition, the systematic concealment behavior of the industry suggests that ghost authorship is having some kind of economically valuable effect. Further, the Article points to some empirical evidence in the predicted direction of the arguments.</w:t>
      </w:r>
    </w:p>
    <w:p w14:paraId="66B0DEB6" w14:textId="77777777" w:rsidR="00805402" w:rsidRDefault="00000000">
      <w:pPr>
        <w:spacing w:after="160"/>
      </w:pPr>
      <w:r>
        <w:rPr>
          <w:rFonts w:ascii="Arial" w:hAnsi="Arial"/>
        </w:rPr>
        <w:t>The Article proceeds as follows. Part II introduces ghost authorship, explains why existing critiques are incomplete, and explains the authorship signal. Parts III, IV, and V trace the three injuries: demand-side effects, supply-side effects, third-party effects. Part VI answers the general objections. Part VII explains how existing law allows ghost authorship, by focusing attention on a harmed party internal to the transaction. Part VIII develops the three solutions (mandatory disclosure, mandatory attribution, prohibition) and assesses each against the three injuries, and answers the constitutional objections. Part IX concludes.</w:t>
      </w:r>
    </w:p>
    <w:p w14:paraId="2A5CDE89" w14:textId="77777777" w:rsidR="00805402" w:rsidRDefault="00000000">
      <w:pPr>
        <w:spacing w:before="280" w:after="120"/>
      </w:pPr>
      <w:r>
        <w:rPr>
          <w:rFonts w:ascii="Arial" w:hAnsi="Arial"/>
          <w:b/>
          <w:sz w:val="26"/>
        </w:rPr>
        <w:t>II. Ghost Authorship and the Authorship Signal</w:t>
      </w:r>
    </w:p>
    <w:p w14:paraId="47D1EF42" w14:textId="77777777" w:rsidR="00805402" w:rsidRDefault="00000000">
      <w:pPr>
        <w:spacing w:before="200" w:after="80"/>
      </w:pPr>
      <w:r>
        <w:rPr>
          <w:rFonts w:ascii="Arial" w:hAnsi="Arial"/>
          <w:b/>
          <w:sz w:val="24"/>
        </w:rPr>
        <w:t>A. The Practice</w:t>
      </w:r>
    </w:p>
    <w:p w14:paraId="5BD48760" w14:textId="77777777" w:rsidR="00805402" w:rsidRDefault="00000000">
      <w:pPr>
        <w:spacing w:after="160"/>
      </w:pPr>
      <w:r>
        <w:rPr>
          <w:rFonts w:ascii="Arial" w:hAnsi="Arial"/>
        </w:rPr>
        <w:t xml:space="preserve">Ghost authorship is paid, undisclosed writing published under another person's sole byline. Undisclosed means undisclosed where buyers look: on the cover or title page. A thank-you in the acknowledgments, or coverage in the trade press, does not calibrate the signal the shelf </w:t>
      </w:r>
      <w:r>
        <w:rPr>
          <w:rFonts w:ascii="Arial" w:hAnsi="Arial"/>
        </w:rPr>
        <w:lastRenderedPageBreak/>
        <w:t>presents, because the shelf reader never sees either; disclosure that counts is disclosure that travels with the byline itself. Three parties define the transaction: a named author who buys the byline, a ghost who sells the credit, and a publisher who sells the package. The named gets a book, the ghost gets a fee, the publisher gets a marketable combination of the two.</w:t>
      </w:r>
    </w:p>
    <w:p w14:paraId="035A43E6" w14:textId="77777777" w:rsidR="00805402" w:rsidRDefault="00000000">
      <w:pPr>
        <w:spacing w:after="160"/>
      </w:pPr>
      <w:r>
        <w:rPr>
          <w:rFonts w:ascii="Arial" w:hAnsi="Arial"/>
        </w:rPr>
        <w:t>Three arrangements fall outside the definition, and outside this Article's target. Disclosed collaboration ("with Jane Roe" on the cover, co-authorship, credited research assistance) is not ghost authorship: the label tells the truth about the division of labor. Editing is not ghost authorship (though Part VIII returns to the boundary). And a pen name is not ghost authorship: the pseudonymous writer really is the author, under another label.</w:t>
      </w:r>
    </w:p>
    <w:p w14:paraId="38EB6FC0" w14:textId="77777777" w:rsidR="00805402" w:rsidRDefault="00000000">
      <w:pPr>
        <w:spacing w:after="160"/>
      </w:pPr>
      <w:r>
        <w:rPr>
          <w:rFonts w:ascii="Arial" w:hAnsi="Arial"/>
        </w:rPr>
        <w:t>Two legal rules organize ghost authorship. First, the Copyright Act lets the parties place authorship itself. Where a commissioned work qualifies as a work made for hire, the commissioning party "is considered the author" from the moment of fixation. A standalone trade book rarely fits the statute's nine commissioned-work categories, so real ghost contracts pair a purported work-for-hire clause with a backstop assignment of the ghost's copyright. Under the assignment the ghost remains the statutory author on paper, but every stick of ownership moves to the buyer, and the byline moves with the deal.</w:t>
      </w:r>
      <w:r>
        <w:rPr>
          <w:rFonts w:ascii="Arial" w:hAnsi="Arial"/>
          <w:vertAlign w:val="superscript"/>
        </w:rPr>
        <w:footnoteReference w:id="15"/>
      </w:r>
      <w:r>
        <w:rPr>
          <w:rFonts w:ascii="Arial" w:hAnsi="Arial"/>
        </w:rPr>
        <w:t xml:space="preserve"> Either way, the ghost holds no attribution right the deal cannot reach: where work for hire applies the law never counts her as the author at all, and where it does not, the credit is simply part of what she sells. Second, </w:t>
      </w:r>
      <w:r>
        <w:rPr>
          <w:rFonts w:ascii="Arial" w:hAnsi="Arial"/>
          <w:i/>
        </w:rPr>
        <w:t>Dastar Corp. v. Twentieth Century Fox</w:t>
      </w:r>
      <w:r>
        <w:rPr>
          <w:rFonts w:ascii="Arial" w:hAnsi="Arial"/>
        </w:rPr>
        <w:t xml:space="preserve"> held that the Lanham Act's prohibition on false designations of "origin" includes only the producer of the physical goods, not "the author of any idea, concept, or communication embodied in those goods."</w:t>
      </w:r>
      <w:r>
        <w:rPr>
          <w:rFonts w:ascii="Arial" w:hAnsi="Arial"/>
          <w:vertAlign w:val="superscript"/>
        </w:rPr>
        <w:footnoteReference w:id="16"/>
      </w:r>
      <w:r>
        <w:rPr>
          <w:rFonts w:ascii="Arial" w:hAnsi="Arial"/>
        </w:rPr>
        <w:t xml:space="preserve"> False authorship claims, as such, are not actionable as unfair competition. Part VII returns to the doctrine in detail.</w:t>
      </w:r>
    </w:p>
    <w:p w14:paraId="3B2ADE22" w14:textId="77777777" w:rsidR="00805402" w:rsidRDefault="00000000">
      <w:pPr>
        <w:spacing w:after="160"/>
      </w:pPr>
      <w:r>
        <w:rPr>
          <w:rFonts w:ascii="Arial" w:hAnsi="Arial"/>
        </w:rPr>
        <w:t xml:space="preserve">These two rules allow extreme versions of ghost authorship. A publisher, a celebrity, and a ghost can lawfully manufacture a book whose every representation of authorship is false, from the name on the cover to the first-person voice of the acknowledgments, and no one has a claim. Not the ghost, who contracted. Not the reader, who has no right to the truth of a byline. Not a competitor, after </w:t>
      </w:r>
      <w:r>
        <w:rPr>
          <w:rFonts w:ascii="Arial" w:hAnsi="Arial"/>
          <w:i/>
        </w:rPr>
        <w:t>Dastar</w:t>
      </w:r>
      <w:r>
        <w:rPr>
          <w:rFonts w:ascii="Arial" w:hAnsi="Arial"/>
        </w:rPr>
        <w:t>.</w:t>
      </w:r>
    </w:p>
    <w:p w14:paraId="76989FD5" w14:textId="77777777" w:rsidR="00805402" w:rsidRDefault="00000000">
      <w:pPr>
        <w:spacing w:after="160"/>
      </w:pPr>
      <w:r>
        <w:rPr>
          <w:rFonts w:ascii="Arial" w:hAnsi="Arial"/>
        </w:rPr>
        <w:t>In practice, how does ghost authorship work? The Article will discuss various different markets, in order to stress test the arguments against a range of conditions. First, celebrity memoir: ghostwriting is the default; fees are flat; credit is traded against price ("the fee decreases," the trade's own guidance reports, when the ghost receives cover credit); nondisclosure agreements are standard.</w:t>
      </w:r>
      <w:r>
        <w:rPr>
          <w:rFonts w:ascii="Arial" w:hAnsi="Arial"/>
          <w:vertAlign w:val="superscript"/>
        </w:rPr>
        <w:footnoteReference w:id="17"/>
      </w:r>
      <w:r>
        <w:rPr>
          <w:rFonts w:ascii="Arial" w:hAnsi="Arial"/>
        </w:rPr>
        <w:t xml:space="preserve"> Second, CEO and policy nonfiction: books function as credentials, offered to boards, voters, and conference committees that never see the manuscript.</w:t>
      </w:r>
      <w:r>
        <w:rPr>
          <w:rFonts w:ascii="Arial" w:hAnsi="Arial"/>
          <w:vertAlign w:val="superscript"/>
        </w:rPr>
        <w:footnoteReference w:id="18"/>
      </w:r>
      <w:r>
        <w:rPr>
          <w:rFonts w:ascii="Arial" w:hAnsi="Arial"/>
        </w:rPr>
        <w:t xml:space="preserve"> Third, branded fiction: both disclosed and undisclosed ghostwriting is common</w:t>
      </w:r>
      <w:r>
        <w:rPr>
          <w:rFonts w:ascii="Arial" w:hAnsi="Arial"/>
          <w:vertAlign w:val="superscript"/>
        </w:rPr>
        <w:footnoteReference w:id="19"/>
      </w:r>
      <w:r>
        <w:rPr>
          <w:rFonts w:ascii="Arial" w:hAnsi="Arial"/>
        </w:rPr>
        <w:t xml:space="preserve">. Fourth, songwriting: formal </w:t>
      </w:r>
      <w:r>
        <w:rPr>
          <w:rFonts w:ascii="Arial" w:hAnsi="Arial"/>
        </w:rPr>
        <w:lastRenderedPageBreak/>
        <w:t>credit institutions (splits, performing-rights registration) coexist with writing camps and undisclosed contributions.</w:t>
      </w:r>
      <w:r>
        <w:rPr>
          <w:rFonts w:ascii="Arial" w:hAnsi="Arial"/>
          <w:vertAlign w:val="superscript"/>
        </w:rPr>
        <w:footnoteReference w:id="20"/>
      </w:r>
      <w:r>
        <w:rPr>
          <w:rFonts w:ascii="Arial" w:hAnsi="Arial"/>
        </w:rPr>
        <w:t xml:space="preserve"> And finally, medicine: journals police authorship with signed warranties, and ghost authorship persists anyway.</w:t>
      </w:r>
      <w:r>
        <w:rPr>
          <w:rFonts w:ascii="Arial" w:hAnsi="Arial"/>
          <w:vertAlign w:val="superscript"/>
        </w:rPr>
        <w:footnoteReference w:id="21"/>
      </w:r>
    </w:p>
    <w:p w14:paraId="58389448" w14:textId="77777777" w:rsidR="00805402" w:rsidRDefault="00000000">
      <w:pPr>
        <w:spacing w:after="160"/>
      </w:pPr>
      <w:r>
        <w:rPr>
          <w:rFonts w:ascii="Arial" w:hAnsi="Arial"/>
        </w:rPr>
        <w:t>Ghost authorship is especially pressing now, because AI has changed the economics. A drafted manuscript used to cost a ghost's year; it now costs a few million tokens of compute. The supply of purchasable bylines was once limited by the supply of skilled human ghosts, and that constraint is gone. At the same time, buyers show strong measured preferences for human-written content, and so the gains from concealment are rising just as the costs of production collapse.</w:t>
      </w:r>
      <w:r>
        <w:rPr>
          <w:rFonts w:ascii="Arial" w:hAnsi="Arial"/>
          <w:vertAlign w:val="superscript"/>
        </w:rPr>
        <w:footnoteReference w:id="22"/>
      </w:r>
      <w:r>
        <w:rPr>
          <w:rFonts w:ascii="Arial" w:hAnsi="Arial"/>
        </w:rPr>
        <w:t xml:space="preserve"> The law adds a third pressure of its own: AI-generated text is uncopyrightable and must be disclosed at registration, so the honest producer holds thinner rights than the concealer claims, and the difference is policed only as well as concealment is detected.</w:t>
      </w:r>
      <w:r>
        <w:rPr>
          <w:rFonts w:ascii="Arial" w:hAnsi="Arial"/>
          <w:vertAlign w:val="superscript"/>
        </w:rPr>
        <w:footnoteReference w:id="23"/>
      </w:r>
      <w:r>
        <w:rPr>
          <w:rFonts w:ascii="Arial" w:hAnsi="Arial"/>
        </w:rPr>
        <w:t xml:space="preserve"> Regulators are writing authorship rules for the machine case without an economic account of the human case that preceded it by a century. This Article supplies the account that covers both.</w:t>
      </w:r>
    </w:p>
    <w:p w14:paraId="0D9D6933" w14:textId="77777777" w:rsidR="00805402" w:rsidRDefault="00000000">
      <w:pPr>
        <w:spacing w:before="200" w:after="80"/>
      </w:pPr>
      <w:r>
        <w:rPr>
          <w:rFonts w:ascii="Arial" w:hAnsi="Arial"/>
          <w:b/>
          <w:sz w:val="24"/>
        </w:rPr>
        <w:t>B. Existing Critiques</w:t>
      </w:r>
    </w:p>
    <w:p w14:paraId="6AD9713D" w14:textId="77777777" w:rsidR="00805402" w:rsidRDefault="00000000">
      <w:pPr>
        <w:spacing w:after="160"/>
      </w:pPr>
      <w:r>
        <w:rPr>
          <w:rFonts w:ascii="Arial" w:hAnsi="Arial"/>
        </w:rPr>
        <w:t>Start with the most obvious critique: ghostwriting wrongs the ghost writer. On this view the ghost gives up something no contract should be able to take: her claim to be named with her own work. This reaction is common. Attribution scholars have documented how much creators care about credit, in money and beyond it, and several scholars have criticized ghost authorship on this basis.</w:t>
      </w:r>
    </w:p>
    <w:p w14:paraId="32DA1557" w14:textId="77777777" w:rsidR="00805402" w:rsidRDefault="00000000">
      <w:pPr>
        <w:spacing w:after="160"/>
      </w:pPr>
      <w:r>
        <w:rPr>
          <w:rFonts w:ascii="Arial" w:hAnsi="Arial"/>
        </w:rPr>
        <w:t>One problem for this critique concerns consent. The ghost is not a victim of the byline market; she is its seller. She signs knowingly, negotiates the price of anonymity, and often returns for the next book. In experiments, professional creators discount roughly half their fee to keep credit, which means credit has a price, and a writer who takes the higher fee has sold at it.</w:t>
      </w:r>
      <w:r>
        <w:rPr>
          <w:rFonts w:ascii="Arial" w:hAnsi="Arial"/>
          <w:vertAlign w:val="superscript"/>
        </w:rPr>
        <w:footnoteReference w:id="24"/>
      </w:r>
    </w:p>
    <w:p w14:paraId="73717EE6" w14:textId="77777777" w:rsidR="00805402" w:rsidRDefault="00000000">
      <w:pPr>
        <w:spacing w:after="160"/>
      </w:pPr>
      <w:r>
        <w:rPr>
          <w:rFonts w:ascii="Arial" w:hAnsi="Arial"/>
        </w:rPr>
        <w:t>Indeed, even champions of attribution rights sometimes concede that consent is relevant. Ginsburg proposes an attribution right for authors and makes it waivable, with "ghostwriter agreements" as her paradigm of a legitimate private arrangement. Fisk proposes an attribution right for employees, and puts ghost contracts on the easy-waiver track.</w:t>
      </w:r>
      <w:r>
        <w:rPr>
          <w:rFonts w:ascii="Arial" w:hAnsi="Arial"/>
          <w:vertAlign w:val="superscript"/>
        </w:rPr>
        <w:footnoteReference w:id="25"/>
      </w:r>
      <w:r>
        <w:rPr>
          <w:rFonts w:ascii="Arial" w:hAnsi="Arial"/>
        </w:rPr>
        <w:t xml:space="preserve"> These are the scholars most committed to the writer's claim to credit, and even they design the right so the ghost can sell it. At any rate, one way to continue the argument would go further, and claim an inalienable </w:t>
      </w:r>
      <w:r>
        <w:rPr>
          <w:rFonts w:ascii="Arial" w:hAnsi="Arial"/>
        </w:rPr>
        <w:lastRenderedPageBreak/>
        <w:t>right to authorship. But this Article pursues a different approach, instead locating the harms from ghost authorship in parties who did not consent to the transaction.</w:t>
      </w:r>
    </w:p>
    <w:p w14:paraId="641E24A7" w14:textId="77777777" w:rsidR="00805402" w:rsidRDefault="00000000">
      <w:pPr>
        <w:spacing w:after="160"/>
      </w:pPr>
      <w:r>
        <w:rPr>
          <w:rFonts w:ascii="Arial" w:hAnsi="Arial"/>
        </w:rPr>
        <w:t>The nearest economic treatment reaches a similar fork. Hansmann and Santilli analyze moral rights, attribution included, as economics rather than personality, and their analysis runs on third-party effects too: attribution rights exist, on their account, because a creator's name carries information that outsiders use, which is why they defend making some moral rights inalienable. The difference is remedial altitude. Hansmann and Santilli deploy the externalities to design the author's entitlement, its scope and its alienability. This Article argues the externalities outrun any entitlement an author could hold: whatever right the ghost is given, the deal will price it and buy it, so the response has to be a market-wide public rule rather than a better private right.</w:t>
      </w:r>
      <w:r>
        <w:rPr>
          <w:rFonts w:ascii="Arial" w:hAnsi="Arial"/>
          <w:vertAlign w:val="superscript"/>
        </w:rPr>
        <w:footnoteReference w:id="26"/>
      </w:r>
    </w:p>
    <w:p w14:paraId="73711878" w14:textId="77777777" w:rsidR="00805402" w:rsidRDefault="00000000">
      <w:pPr>
        <w:spacing w:after="160"/>
      </w:pPr>
      <w:r>
        <w:rPr>
          <w:rFonts w:ascii="Arial" w:hAnsi="Arial"/>
        </w:rPr>
        <w:t>The second critique says ghostwriting deceives readers, and this Article agrees. Lastowka makes a strong version of this case. Author names function as trademarks, buyers rely on them, and undisclosed ghostwriting is "pure plagiarism" that the law should treat as reverse passing off. Reverse passing off is a concept borrowed from trademark law. Ordinary passing off happens when a seller markets his own goods under someone else's name, to trade on their reputation. Reverse passing off is the mirror image: the seller markets someone else's work as his own, taking credit for what he did not make. On Lastowka's view, a ghost authored book is this second kind of misrepresentation. The deceived buyer did not consent to anything: she was the mark, not the counterparty. What the deception critique lacks is not truth but reach. It has no account of how large the harm is, whom beyond the buyer it falls on, or why it varies across markets. In addition, its remedies are incomplete. For example, a private unfair-competition suit needs a plaintiff with standing, the parties to the deal will never sue, and buyers rarely learn they were deceived. Lastowka concedes that under his own proposal the practice would continue "largely unchecked."</w:t>
      </w:r>
      <w:r>
        <w:rPr>
          <w:rFonts w:ascii="Arial" w:hAnsi="Arial"/>
          <w:vertAlign w:val="superscript"/>
        </w:rPr>
        <w:footnoteReference w:id="27"/>
      </w:r>
    </w:p>
    <w:p w14:paraId="54C4B2D2" w14:textId="77777777" w:rsidR="00805402" w:rsidRDefault="00000000">
      <w:pPr>
        <w:spacing w:after="160"/>
      </w:pPr>
      <w:r>
        <w:rPr>
          <w:rFonts w:ascii="Arial" w:hAnsi="Arial"/>
        </w:rPr>
        <w:t>The third critique comes from medicine, and it too is right as far as it goes. Stern and Lemmens argue that a guest author who signs a journal's authorship warranty commits actionable fraud; Minasi extends the theory to civil RICO.</w:t>
      </w:r>
      <w:r>
        <w:rPr>
          <w:rFonts w:ascii="Arial" w:hAnsi="Arial"/>
          <w:vertAlign w:val="superscript"/>
        </w:rPr>
        <w:footnoteReference w:id="28"/>
      </w:r>
      <w:r>
        <w:rPr>
          <w:rFonts w:ascii="Arial" w:hAnsi="Arial"/>
        </w:rPr>
        <w:t xml:space="preserve"> Again the victims did not consent: in this case, the journal. But this critique is limited: it works only where an express warranty exists, as in medicine; commercial publishing demands no such signature. And its damages price the wrong injury: subscribers' dollar-a-head losses, while the harms the authors themselves emphasize (to patients, to courts, to the medical evidence base) are unpriced.</w:t>
      </w:r>
      <w:r>
        <w:rPr>
          <w:rFonts w:ascii="Arial" w:hAnsi="Arial"/>
          <w:vertAlign w:val="superscript"/>
        </w:rPr>
        <w:footnoteReference w:id="29"/>
      </w:r>
      <w:r>
        <w:rPr>
          <w:rFonts w:ascii="Arial" w:hAnsi="Arial"/>
        </w:rPr>
        <w:t xml:space="preserve"> The problem is that fraud doctrine needs a transactional victim, and most of the victims are not in the relevant transaction.</w:t>
      </w:r>
    </w:p>
    <w:p w14:paraId="190D0C77" w14:textId="77777777" w:rsidR="00805402" w:rsidRDefault="00000000">
      <w:pPr>
        <w:spacing w:after="160"/>
      </w:pPr>
      <w:r>
        <w:rPr>
          <w:rFonts w:ascii="Arial" w:hAnsi="Arial"/>
        </w:rPr>
        <w:t xml:space="preserve">So the state of the argument is this. The moral-rights critique faces the challenge that the writer consents. The deception and fraud critiques are correct, but incomplete. They capture the buyer and the warranty-holder, one slice of the injury, and they imply incomplete remedies, because </w:t>
      </w:r>
      <w:r>
        <w:rPr>
          <w:rFonts w:ascii="Arial" w:hAnsi="Arial"/>
        </w:rPr>
        <w:lastRenderedPageBreak/>
        <w:t>they look for an identifiable victim inside a transaction. In fact, the harms that matter most are diffuse, spread across every reader who trusted a byline, every writer whose track record went unwritten, everyone who acted on testimony no one gave. Diffuse harms are what tort and fraud handle worst. A court saw the structure as early as 1951: refusing to enforce Milton Berle's ghost deal, it called the arrangement "a fraud and deception upon the public," on the ground that public policy protects the interests of those outside the contract.</w:t>
      </w:r>
      <w:r>
        <w:rPr>
          <w:rFonts w:ascii="Arial" w:hAnsi="Arial"/>
          <w:vertAlign w:val="superscript"/>
        </w:rPr>
        <w:footnoteReference w:id="30"/>
      </w:r>
      <w:r>
        <w:rPr>
          <w:rFonts w:ascii="Arial" w:hAnsi="Arial"/>
        </w:rPr>
        <w:t xml:space="preserve"> This article focuses on this public interest.</w:t>
      </w:r>
    </w:p>
    <w:p w14:paraId="24A3F378" w14:textId="77777777" w:rsidR="00805402" w:rsidRDefault="00000000">
      <w:pPr>
        <w:spacing w:before="200" w:after="80"/>
      </w:pPr>
      <w:r>
        <w:rPr>
          <w:rFonts w:ascii="Arial" w:hAnsi="Arial"/>
          <w:b/>
          <w:sz w:val="24"/>
        </w:rPr>
        <w:t>C. The Authorship Signal</w:t>
      </w:r>
    </w:p>
    <w:p w14:paraId="40C00BF3" w14:textId="77777777" w:rsidR="00805402" w:rsidRDefault="00000000">
      <w:pPr>
        <w:spacing w:after="160"/>
      </w:pPr>
      <w:r>
        <w:rPr>
          <w:rFonts w:ascii="Arial" w:hAnsi="Arial"/>
        </w:rPr>
        <w:t>Start with two kinds of goods. An experience good is one whose quality you learn only by consuming it: you cannot taste the wine before buying the bottle.</w:t>
      </w:r>
      <w:r>
        <w:rPr>
          <w:rFonts w:ascii="Arial" w:hAnsi="Arial"/>
          <w:vertAlign w:val="superscript"/>
        </w:rPr>
        <w:footnoteReference w:id="31"/>
      </w:r>
      <w:r>
        <w:rPr>
          <w:rFonts w:ascii="Arial" w:hAnsi="Arial"/>
        </w:rPr>
        <w:t xml:space="preserve"> A credence good is harder still: you may not know the quality even after consuming it: the patient cannot tell whether the surgery was necessary; the client cannot tell whether the repair the mechanic performed was the one the car needed.</w:t>
      </w:r>
      <w:r>
        <w:rPr>
          <w:rFonts w:ascii="Arial" w:hAnsi="Arial"/>
          <w:vertAlign w:val="superscript"/>
        </w:rPr>
        <w:footnoteReference w:id="32"/>
      </w:r>
      <w:r>
        <w:rPr>
          <w:rFonts w:ascii="Arial" w:hAnsi="Arial"/>
        </w:rPr>
        <w:t xml:space="preserve"> Books are experience goods, and expertise books are credence goods: a lay reader cannot fully check the investment advice, the medical claims, or the general's account of the war, even after reading. For goods like that, buyers fall back on who is selling. The author's name does the work the reader cannot do herself. That is why books are shelved, marketed, and reviewed by author, and why names move sales exactly where the name carries information the buyer lacks. Bestseller listing raises sales substantially for unknown debut authors and does nothing measurable for established ones.</w:t>
      </w:r>
      <w:r>
        <w:rPr>
          <w:rFonts w:ascii="Arial" w:hAnsi="Arial"/>
          <w:vertAlign w:val="superscript"/>
        </w:rPr>
        <w:footnoteReference w:id="33"/>
      </w:r>
    </w:p>
    <w:p w14:paraId="22973C73" w14:textId="77777777" w:rsidR="00805402" w:rsidRDefault="00000000">
      <w:pPr>
        <w:spacing w:after="160"/>
      </w:pPr>
      <w:r>
        <w:rPr>
          <w:rFonts w:ascii="Arial" w:hAnsi="Arial"/>
        </w:rPr>
        <w:t>The authorship signal serves three functions at once, which organize the arguments in this Article. It is a purchase signal for buyers: pre-purchase evidence of quality, consulted at the shelf and the checkout. It is a career asset for writers: attribution is the channel through which writing ability becomes reputational human capital.</w:t>
      </w:r>
      <w:r>
        <w:rPr>
          <w:rFonts w:ascii="Arial" w:hAnsi="Arial"/>
          <w:vertAlign w:val="superscript"/>
        </w:rPr>
        <w:footnoteReference w:id="34"/>
      </w:r>
      <w:r>
        <w:rPr>
          <w:rFonts w:ascii="Arial" w:hAnsi="Arial"/>
        </w:rPr>
        <w:t xml:space="preserve"> And it is a discourse marker for everyone else: reviews, citations, and journalism treat the byline as evidence of who holds which views, so people who never buy the book still consume its attribution. Ghost authorship weakens all three functions. It creates a gap between what the signal says and what happened: the name on the book no longer carries reliable information about who wrote it. Each of the next three Parts is the story of one function failing for one population.</w:t>
      </w:r>
    </w:p>
    <w:p w14:paraId="1EF6D315" w14:textId="77777777" w:rsidR="00805402" w:rsidRDefault="00000000">
      <w:pPr>
        <w:spacing w:after="160"/>
      </w:pPr>
      <w:r>
        <w:rPr>
          <w:rFonts w:ascii="Arial" w:hAnsi="Arial"/>
        </w:rPr>
        <w:t>To understand the economic function of ghost authorship and the authorship signal, it is worth backing up to think through the economics of intellectual property more broadly. Copyright exists because expression is costly to create and cheap to copy; the law trades some public access for the private incentive to create at all.</w:t>
      </w:r>
      <w:r>
        <w:rPr>
          <w:rFonts w:ascii="Arial" w:hAnsi="Arial"/>
          <w:vertAlign w:val="superscript"/>
        </w:rPr>
        <w:footnoteReference w:id="35"/>
      </w:r>
      <w:r>
        <w:rPr>
          <w:rFonts w:ascii="Arial" w:hAnsi="Arial"/>
        </w:rPr>
        <w:t xml:space="preserve"> The incentive is not only royalties. Landes and </w:t>
      </w:r>
      <w:r>
        <w:rPr>
          <w:rFonts w:ascii="Arial" w:hAnsi="Arial"/>
        </w:rPr>
        <w:lastRenderedPageBreak/>
        <w:t>Posner count recognition among publication's returns, and observe that norms against plagiarism "ensure that the author will obtain recognition, if not always royalties, from the works he publishes."</w:t>
      </w:r>
      <w:r>
        <w:rPr>
          <w:rFonts w:ascii="Arial" w:hAnsi="Arial"/>
          <w:vertAlign w:val="superscript"/>
        </w:rPr>
        <w:footnoteReference w:id="36"/>
      </w:r>
      <w:r>
        <w:rPr>
          <w:rFonts w:ascii="Arial" w:hAnsi="Arial"/>
        </w:rPr>
        <w:t xml:space="preserve"> In this way, attribution is a core part of the economics of authorship.</w:t>
      </w:r>
    </w:p>
    <w:p w14:paraId="7E0C9528" w14:textId="77777777" w:rsidR="00805402" w:rsidRDefault="00000000">
      <w:pPr>
        <w:spacing w:after="160"/>
      </w:pPr>
      <w:r>
        <w:rPr>
          <w:rFonts w:ascii="Arial" w:hAnsi="Arial"/>
        </w:rPr>
        <w:t xml:space="preserve">The standard defense of ghost authorship goes as follows. Copyright's incentive instrument is a bundle of exclusive rights. The law lets parties trade those rights by contract, because the person who values a right most should end up holding it: that is what markets are for. The work-for-hire doctrine and </w:t>
      </w:r>
      <w:r>
        <w:rPr>
          <w:rFonts w:ascii="Arial" w:hAnsi="Arial"/>
          <w:i/>
        </w:rPr>
        <w:t>Dastar</w:t>
      </w:r>
      <w:r>
        <w:rPr>
          <w:rFonts w:ascii="Arial" w:hAnsi="Arial"/>
        </w:rPr>
        <w:t xml:space="preserve"> simply extend the principle to authorship itself: if a celebrity values the author's chair more than the ghost values sitting in it, let them trade. The ghost prices her anonymity; the buyer pays for the name; each walks away better off by their own lights.</w:t>
      </w:r>
      <w:r>
        <w:rPr>
          <w:rFonts w:ascii="Arial" w:hAnsi="Arial"/>
          <w:vertAlign w:val="superscript"/>
        </w:rPr>
        <w:footnoteReference w:id="37"/>
      </w:r>
      <w:r>
        <w:rPr>
          <w:rFonts w:ascii="Arial" w:hAnsi="Arial"/>
        </w:rPr>
        <w:t xml:space="preserve"> Within the transaction, this defense makes sense. The next three Parts are about the people who are not at the table.</w:t>
      </w:r>
    </w:p>
    <w:p w14:paraId="43C31924" w14:textId="77777777" w:rsidR="00805402" w:rsidRDefault="00000000">
      <w:pPr>
        <w:spacing w:before="280" w:after="120"/>
      </w:pPr>
      <w:r>
        <w:rPr>
          <w:rFonts w:ascii="Arial" w:hAnsi="Arial"/>
          <w:b/>
          <w:sz w:val="26"/>
        </w:rPr>
        <w:t>III. Demand-Side Effects: The Market for Lemons</w:t>
      </w:r>
    </w:p>
    <w:p w14:paraId="2EA84C6D" w14:textId="77777777" w:rsidR="00805402" w:rsidRDefault="00000000">
      <w:pPr>
        <w:spacing w:after="160"/>
      </w:pPr>
      <w:r>
        <w:rPr>
          <w:rFonts w:ascii="Arial" w:hAnsi="Arial"/>
        </w:rPr>
        <w:t>Ghost authorship's first victims are on the demand side: the people who buy books. The argument runs as follows. Readers use the byline to decide what to buy, because for books the byline is the best pre-purchase evidence there is. Ghost authorship makes bylines purchasable, so the byline stops sorting good from bad. A name on a cover no longer distinguishes the expert who wrote her own book from the celebrity who bought one. Buyers who understand this discount every byline. The discount falls hardest on the authors whose names were earned, under-rewarding exactly the quality the market most needs to reward. And under-rewarded quality leaves. That is a market for lemons.</w:t>
      </w:r>
    </w:p>
    <w:p w14:paraId="0988BCFB" w14:textId="77777777" w:rsidR="00805402" w:rsidRDefault="00000000">
      <w:pPr>
        <w:spacing w:before="200" w:after="80"/>
      </w:pPr>
      <w:r>
        <w:rPr>
          <w:rFonts w:ascii="Arial" w:hAnsi="Arial"/>
          <w:b/>
          <w:sz w:val="24"/>
        </w:rPr>
        <w:t>A. The Dynamic</w:t>
      </w:r>
    </w:p>
    <w:p w14:paraId="5DC69251" w14:textId="77777777" w:rsidR="00805402" w:rsidRDefault="00000000">
      <w:pPr>
        <w:spacing w:after="160"/>
      </w:pPr>
      <w:r>
        <w:rPr>
          <w:rFonts w:ascii="Arial" w:hAnsi="Arial"/>
        </w:rPr>
        <w:t>First, consider what a book buyer knows. A book is an experience good: its value is revealed only after purchase and reading.</w:t>
      </w:r>
      <w:r>
        <w:rPr>
          <w:rFonts w:ascii="Arial" w:hAnsi="Arial"/>
          <w:vertAlign w:val="superscript"/>
        </w:rPr>
        <w:footnoteReference w:id="38"/>
      </w:r>
      <w:r>
        <w:rPr>
          <w:rFonts w:ascii="Arial" w:hAnsi="Arial"/>
        </w:rPr>
        <w:t xml:space="preserve"> An expertise book is worse. It is a credence good, whose central claims a lay reader cannot fully verify even after reading. Was the investment advice sound? The reader will know in ten years. Is the medical claim true? She cannot run the trial. The general's war memoir, the founder's account of the turnaround, the economist's policy book: in each case the reader cannot check the content, so she checks the source.</w:t>
      </w:r>
      <w:r>
        <w:rPr>
          <w:rFonts w:ascii="Arial" w:hAnsi="Arial"/>
          <w:vertAlign w:val="superscript"/>
        </w:rPr>
        <w:footnoteReference w:id="39"/>
      </w:r>
      <w:r>
        <w:rPr>
          <w:rFonts w:ascii="Arial" w:hAnsi="Arial"/>
        </w:rPr>
        <w:t xml:space="preserve"> A researcher summed up the problem during the medical ghostwriting scandals: "You don't know who was using and who wasn't; you don't know which articles are tainted and which aren't."</w:t>
      </w:r>
      <w:r>
        <w:rPr>
          <w:rFonts w:ascii="Arial" w:hAnsi="Arial"/>
          <w:vertAlign w:val="superscript"/>
        </w:rPr>
        <w:footnoteReference w:id="40"/>
      </w:r>
    </w:p>
    <w:p w14:paraId="25E822EA" w14:textId="77777777" w:rsidR="00805402" w:rsidRDefault="00000000">
      <w:pPr>
        <w:spacing w:after="160"/>
      </w:pPr>
      <w:r>
        <w:rPr>
          <w:rFonts w:ascii="Arial" w:hAnsi="Arial"/>
        </w:rPr>
        <w:t>In the face of this ignorance, readers rely on authorship signals. Author names acquire meaning through consumption and drive purchase decisions; books are shelved by author, marketed by author, reviewed by author.</w:t>
      </w:r>
      <w:r>
        <w:rPr>
          <w:rFonts w:ascii="Arial" w:hAnsi="Arial"/>
          <w:vertAlign w:val="superscript"/>
        </w:rPr>
        <w:footnoteReference w:id="41"/>
      </w:r>
      <w:r>
        <w:rPr>
          <w:rFonts w:ascii="Arial" w:hAnsi="Arial"/>
        </w:rPr>
        <w:t xml:space="preserve"> Third-party quality information moves sales mainly when authorship signal is absent. When a book accidentally makes the bestseller list, sales jump </w:t>
      </w:r>
      <w:r>
        <w:rPr>
          <w:rFonts w:ascii="Arial" w:hAnsi="Arial"/>
        </w:rPr>
        <w:lastRenderedPageBreak/>
        <w:t>dramatically for debut authors. For established authors, there’s little effect: "Everyone knows that Grisham's newest novel will make the list, so there is no information shock."</w:t>
      </w:r>
      <w:r>
        <w:rPr>
          <w:rFonts w:ascii="Arial" w:hAnsi="Arial"/>
          <w:vertAlign w:val="superscript"/>
        </w:rPr>
        <w:footnoteReference w:id="42"/>
      </w:r>
      <w:r>
        <w:rPr>
          <w:rFonts w:ascii="Arial" w:hAnsi="Arial"/>
        </w:rPr>
        <w:t xml:space="preserve"> For the established author, the name is the information.</w:t>
      </w:r>
    </w:p>
    <w:p w14:paraId="55903DA7" w14:textId="77777777" w:rsidR="00805402" w:rsidRDefault="00000000">
      <w:pPr>
        <w:spacing w:after="160"/>
      </w:pPr>
      <w:r>
        <w:rPr>
          <w:rFonts w:ascii="Arial" w:hAnsi="Arial"/>
        </w:rPr>
        <w:t>Now consider a different market. Famously, a used car is worth more or less depending on facts only the seller knows: how it was driven, what went wrong, what was patched. Suppose buyers cannot tell the good cars from the bad ones, the lemons. Then every car sells at a price reflecting the average quality buyers expect. Owners of good cars look at the average price and decline to sell: their cars are worth more than the market can see. The good cars leave the market. With the good cars gone, average quality falls, so the price falls further, so the next tier of good cars leaves too. The market unravels toward junk. This is Akerlof's market for lemons. Market for lemon effects occur when buyers who cannot tell pay less, and sellers with quality leave.</w:t>
      </w:r>
      <w:r>
        <w:rPr>
          <w:rFonts w:ascii="Arial" w:hAnsi="Arial"/>
          <w:vertAlign w:val="superscript"/>
        </w:rPr>
        <w:footnoteReference w:id="43"/>
      </w:r>
      <w:r>
        <w:rPr>
          <w:rFonts w:ascii="Arial" w:hAnsi="Arial"/>
        </w:rPr>
        <w:t xml:space="preserve"> No fraud is required. No one need be fooled. Asymmetric information does all the work.</w:t>
      </w:r>
    </w:p>
    <w:p w14:paraId="199A16EC" w14:textId="77777777" w:rsidR="00805402" w:rsidRDefault="00000000">
      <w:pPr>
        <w:spacing w:after="160"/>
      </w:pPr>
      <w:r>
        <w:rPr>
          <w:rFonts w:ascii="Arial" w:hAnsi="Arial"/>
        </w:rPr>
        <w:t xml:space="preserve">Books can be lemons too. Ghost authorship expands the pool of bylines to include names not backed by writing ability: anyone who can pay can present as an author. A reader who understands this cannot take bylines at face value. She rationally discounts every byline by the probability that it was purchased. Because the practice is concealed, she cannot discriminate. The discount falls indiscriminately, on the CEO who hired a ghost and on the expert who spent two years writing her own book. The authentic author's name now buys less than it earned. The counterfeit's name buys more than it should. This is called “pooling.” Here, one caveat is relevant. Buyers do not discount all books equally; they discount by category. A reader who knows that most celebrity memoirs are ghosted and that few monographs are will discount the memoir shelf and mostly trust the university press. The relevant pooling is therefore within categories. </w:t>
      </w:r>
    </w:p>
    <w:p w14:paraId="476E1AC0" w14:textId="77777777" w:rsidR="00805402" w:rsidRDefault="00000000">
      <w:pPr>
        <w:spacing w:after="160"/>
      </w:pPr>
      <w:r>
        <w:rPr>
          <w:rFonts w:ascii="Arial" w:hAnsi="Arial"/>
        </w:rPr>
        <w:t>In equilibrium, under-rewarded authors respond, and their responses drive the spiral. Some exit: the expert who cannot recover her writing investment writes fewer books, or stops. Others switch sides: if an earned byline commands only a discounted premium, the certain ghosting fee beats the uncertain returns of original authorship. The skilled writer sells her craft to someone else's name, which expands the pool of purchased bylines further. Either way the authentic share falls, the rational discount deepens, and the market takes another turn downward.</w:t>
      </w:r>
      <w:r>
        <w:rPr>
          <w:rFonts w:ascii="Arial" w:hAnsi="Arial"/>
          <w:vertAlign w:val="superscript"/>
        </w:rPr>
        <w:footnoteReference w:id="44"/>
      </w:r>
      <w:r>
        <w:rPr>
          <w:rFonts w:ascii="Arial" w:hAnsi="Arial"/>
        </w:rPr>
        <w:t xml:space="preserve"> This kind of effect is predicted to be strongest where authorship signal plays the strongest role, such as with books involving expertise.</w:t>
      </w:r>
    </w:p>
    <w:p w14:paraId="6605085F" w14:textId="77777777" w:rsidR="00805402" w:rsidRDefault="00000000">
      <w:pPr>
        <w:spacing w:after="160"/>
      </w:pPr>
      <w:r>
        <w:rPr>
          <w:rFonts w:ascii="Arial" w:hAnsi="Arial"/>
        </w:rPr>
        <w:lastRenderedPageBreak/>
        <w:t>Why does the market not fix this with voluntary disclosure? Go back to used cars. A dealer with a genuinely good car wants the buyer to know it, so he offers an inspection; once good dealers start doing that, silence itself becomes a signal of a lemon, and disclosure spreads on its own. That is the textbook story, and it depends on the sellers with good news gaining from telling it. Publishing runs the other way. The party with the information is the publisher or the named author, and their news is bad: this famous byline did not write the book. Disclosing it would cost them the premium the byline earns, so they pay to keep it in: nondisclosure agreements are a standard term of ghost contracts. The sellers who control the information profit from the silence, and the writers who would happily disclose (the ghosts) have signed away the right to. When the parties who hold the news are the ones paid to suppress it, the disclosure snowball cannot get rolling.</w:t>
      </w:r>
      <w:r>
        <w:rPr>
          <w:rFonts w:ascii="Arial" w:hAnsi="Arial"/>
          <w:vertAlign w:val="superscript"/>
        </w:rPr>
        <w:footnoteReference w:id="45"/>
      </w:r>
    </w:p>
    <w:p w14:paraId="6A1F0F6F" w14:textId="77777777" w:rsidR="00805402" w:rsidRDefault="00000000">
      <w:pPr>
        <w:spacing w:before="200" w:after="80"/>
      </w:pPr>
      <w:r>
        <w:rPr>
          <w:rFonts w:ascii="Arial" w:hAnsi="Arial"/>
          <w:b/>
          <w:sz w:val="24"/>
        </w:rPr>
        <w:t>B. Assessing the Strength of the Argument</w:t>
      </w:r>
    </w:p>
    <w:p w14:paraId="449FF6E2" w14:textId="77777777" w:rsidR="00805402" w:rsidRDefault="00000000">
      <w:pPr>
        <w:spacing w:after="160"/>
      </w:pPr>
      <w:r>
        <w:rPr>
          <w:rFonts w:ascii="Arial" w:hAnsi="Arial"/>
        </w:rPr>
        <w:t>How much does the lemons argument matter? That depends on the effects of the authorship signal in a given market. Where the name promises the named person's own expertise or experience (a CEO's judgment, a memoirist's life, a doctor's clinical knowledge), a purchased byline is a false promise, and the argument applies. Where the name promises only a familiar kind of product (a house style, a brand), the promise can survive ghost production, and the argument does not apply as well.</w:t>
      </w:r>
    </w:p>
    <w:p w14:paraId="47CF029C" w14:textId="77777777" w:rsidR="00805402" w:rsidRDefault="00000000">
      <w:pPr>
        <w:spacing w:after="160"/>
      </w:pPr>
      <w:r>
        <w:rPr>
          <w:rFonts w:ascii="Arial" w:hAnsi="Arial"/>
        </w:rPr>
        <w:t>The argument is strongest in CEO, expert, and policy nonfiction. There the byline promises the named person's judgment; the book is bought as access to that judgment; and a purchased byline is a counterfeit credential. The reader of the investment book is buying the investor, not the prose. The reader of the general's memoir is trying to buy the general's memories of war in his own words: the fantasy of reading a personal diary, written on the eve of battle.</w:t>
      </w:r>
    </w:p>
    <w:p w14:paraId="6BA3F196" w14:textId="77777777" w:rsidR="00805402" w:rsidRDefault="00000000">
      <w:pPr>
        <w:spacing w:after="160"/>
      </w:pPr>
      <w:r>
        <w:rPr>
          <w:rFonts w:ascii="Arial" w:hAnsi="Arial"/>
        </w:rPr>
        <w:t>Celebrity memoir sits in the middle. The byline promises lived experience and voice, not necessarily craft, and the market visibly prices that promise. When James Frey's memoir turned out to be partly fabricated, the publisher offered refunds and settled a class action. When the novelist behind "JT LeRoy" was exposed, a jury found fraud.</w:t>
      </w:r>
      <w:r>
        <w:rPr>
          <w:rFonts w:ascii="Arial" w:hAnsi="Arial"/>
          <w:vertAlign w:val="superscript"/>
        </w:rPr>
        <w:footnoteReference w:id="46"/>
      </w:r>
      <w:r>
        <w:rPr>
          <w:rFonts w:ascii="Arial" w:hAnsi="Arial"/>
        </w:rPr>
        <w:t xml:space="preserve"> Those episodes involved fabricated substance rather than hired prose, but they establish the relevant market fact for celebrity memoirs: authenticity claims carry a price, and readers punish their breach when they learn of it. Celebrity cookbooks make the point vividly. Would you buy a celebrity's cookbook </w:t>
      </w:r>
      <w:r>
        <w:rPr>
          <w:rFonts w:ascii="Arial" w:hAnsi="Arial"/>
        </w:rPr>
        <w:lastRenderedPageBreak/>
        <w:t>knowing the celebrity never even cooked the food? The purchase premise is the person's own practice; yet the trade press reports the kitchens are frequently not theirs.</w:t>
      </w:r>
      <w:r>
        <w:rPr>
          <w:rFonts w:ascii="Arial" w:hAnsi="Arial"/>
          <w:vertAlign w:val="superscript"/>
        </w:rPr>
        <w:footnoteReference w:id="47"/>
      </w:r>
    </w:p>
    <w:p w14:paraId="0B77FC4F" w14:textId="77777777" w:rsidR="00805402" w:rsidRDefault="00000000">
      <w:pPr>
        <w:spacing w:after="160"/>
      </w:pPr>
      <w:r>
        <w:rPr>
          <w:rFonts w:ascii="Arial" w:hAnsi="Arial"/>
        </w:rPr>
        <w:t>The argument does not apply in branded commercial fiction with calibrated expectations. Posthumous V.C. Andrews novels kept selling, at reduced royalties, after the arrangement became public, was litigated, and was valued by the tax authorities. The readers, apparently, were buying a kind of story rather than a person's testimony, and they kept getting it.</w:t>
      </w:r>
      <w:r>
        <w:rPr>
          <w:rFonts w:ascii="Arial" w:hAnsi="Arial"/>
          <w:vertAlign w:val="superscript"/>
        </w:rPr>
        <w:footnoteReference w:id="48"/>
      </w:r>
      <w:r>
        <w:rPr>
          <w:rFonts w:ascii="Arial" w:hAnsi="Arial"/>
        </w:rPr>
        <w:t xml:space="preserve"> Where expectations are genuinely calibrated, the signal carries no false promise. But the concession is narrower than it first looks. Even in branded fiction, the name was carrying information: when the original author dies and the factory takes over, quality often falls. This, again, is why estates conceal the transition instead of announcing it.</w:t>
      </w:r>
      <w:r>
        <w:rPr>
          <w:rFonts w:ascii="Arial" w:hAnsi="Arial"/>
          <w:vertAlign w:val="superscript"/>
        </w:rPr>
        <w:footnoteReference w:id="49"/>
      </w:r>
      <w:r>
        <w:rPr>
          <w:rFonts w:ascii="Arial" w:hAnsi="Arial"/>
        </w:rPr>
        <w:t xml:space="preserve"> A truly calibrated brand would have nothing to hide.</w:t>
      </w:r>
    </w:p>
    <w:p w14:paraId="15171D12" w14:textId="77777777" w:rsidR="00805402" w:rsidRDefault="00000000">
      <w:pPr>
        <w:spacing w:after="160"/>
      </w:pPr>
      <w:r>
        <w:rPr>
          <w:rFonts w:ascii="Arial" w:hAnsi="Arial"/>
        </w:rPr>
        <w:t>Pen names are different. A pseudonym promises nothing false: the pseudonymous writer "is, in truth, the real author," not one "exploiting the ability, talent and authorship of another, palming it off under the false pretense that it is his own."</w:t>
      </w:r>
      <w:r>
        <w:rPr>
          <w:rFonts w:ascii="Arial" w:hAnsi="Arial"/>
          <w:vertAlign w:val="superscript"/>
        </w:rPr>
        <w:footnoteReference w:id="50"/>
      </w:r>
      <w:r>
        <w:rPr>
          <w:rFonts w:ascii="Arial" w:hAnsi="Arial"/>
        </w:rPr>
        <w:t xml:space="preserve"> Samuel Clemens under "Mark Twain" is an author wearing a label; the reader who trusts Twain is trusting Clemens, whatever the name says. A nom de plume is true authorship under another label. A ghost byline is a false authorship claim under a true name. The distinction is more than a century old, and reflected in the 1951 decision </w:t>
      </w:r>
      <w:r>
        <w:rPr>
          <w:rFonts w:ascii="Arial" w:hAnsi="Arial"/>
          <w:i/>
        </w:rPr>
        <w:t>Roddy-Eden v. Berle</w:t>
      </w:r>
      <w:r>
        <w:rPr>
          <w:rFonts w:ascii="Arial" w:hAnsi="Arial"/>
        </w:rPr>
        <w:t>.</w:t>
      </w:r>
      <w:r>
        <w:rPr>
          <w:rFonts w:ascii="Arial" w:hAnsi="Arial"/>
          <w:vertAlign w:val="superscript"/>
        </w:rPr>
        <w:footnoteReference w:id="51"/>
      </w:r>
    </w:p>
    <w:p w14:paraId="32C3021F" w14:textId="77777777" w:rsidR="00805402" w:rsidRDefault="00000000">
      <w:pPr>
        <w:spacing w:after="160"/>
      </w:pPr>
      <w:r>
        <w:rPr>
          <w:rFonts w:ascii="Arial" w:hAnsi="Arial"/>
        </w:rPr>
        <w:t>Even the scholars most skeptical of attribution regulation draw a line close to this one. Tushnet opposes any ban on ghostwriting. In the same article, however, she condemns identity deception that inflates credibility: the fake expert whose credentials were invented, the fabricated memoir.</w:t>
      </w:r>
      <w:r>
        <w:rPr>
          <w:rFonts w:ascii="Arial" w:hAnsi="Arial"/>
          <w:vertAlign w:val="superscript"/>
        </w:rPr>
        <w:footnoteReference w:id="52"/>
      </w:r>
      <w:r>
        <w:rPr>
          <w:rFonts w:ascii="Arial" w:hAnsi="Arial"/>
        </w:rPr>
        <w:t xml:space="preserve"> Lastowka, who wants the practice policed, proposes a truth test: did the named author make a substantial authorial contribution?</w:t>
      </w:r>
      <w:r>
        <w:rPr>
          <w:rFonts w:ascii="Arial" w:hAnsi="Arial"/>
          <w:vertAlign w:val="superscript"/>
        </w:rPr>
        <w:footnoteReference w:id="53"/>
      </w:r>
      <w:r>
        <w:rPr>
          <w:rFonts w:ascii="Arial" w:hAnsi="Arial"/>
        </w:rPr>
        <w:t xml:space="preserve"> So the disagreement is narrower than it first appears. The skeptics already concede that deception about expertise is a problem. What remains contested is which cases count as deception and what remedy fits them. Here, the methodology in this Article says that we should just look directly at what kinds of structures create economic inefficiencies, and we can use this as a criterion for deciding what counts as problematically "deceptive".</w:t>
      </w:r>
    </w:p>
    <w:p w14:paraId="7E353D25" w14:textId="77777777" w:rsidR="00805402" w:rsidRDefault="00000000">
      <w:pPr>
        <w:spacing w:before="200" w:after="80"/>
      </w:pPr>
      <w:r>
        <w:rPr>
          <w:rFonts w:ascii="Arial" w:hAnsi="Arial"/>
          <w:b/>
          <w:sz w:val="24"/>
        </w:rPr>
        <w:t>C. AI and the Market for Lemons</w:t>
      </w:r>
    </w:p>
    <w:p w14:paraId="5B77A522" w14:textId="77777777" w:rsidR="00805402" w:rsidRDefault="00000000">
      <w:pPr>
        <w:spacing w:after="160"/>
      </w:pPr>
      <w:r>
        <w:rPr>
          <w:rFonts w:ascii="Arial" w:hAnsi="Arial"/>
        </w:rPr>
        <w:lastRenderedPageBreak/>
        <w:t>Market for lemon effects may get stronger under AI. Machine drafting makes ghost production cheaper, faster, and harder to detect. So the supply of purchasable bylines is no longer limited by the supply of human ghosts. The pool of unbacked names can expand without constraint. And buyers demonstrably care about the difference between human and machine authorship. One piece of evidence comes from labeling experiments. Researchers show participants the same text and vary only a label describing it as human-made or AI-made. Participants consistently rate the version labeled human-made higher, in judged quality and in worth, even though the words are identical. Because everything except the label is held constant, the premium is attributable to the label alone.</w:t>
      </w:r>
      <w:r>
        <w:rPr>
          <w:rFonts w:ascii="Arial" w:hAnsi="Arial"/>
          <w:vertAlign w:val="superscript"/>
        </w:rPr>
        <w:footnoteReference w:id="54"/>
      </w:r>
      <w:r>
        <w:rPr>
          <w:rFonts w:ascii="Arial" w:hAnsi="Arial"/>
        </w:rPr>
        <w:t xml:space="preserve"> In a market where labels do all the work, a false label captures all the premium.</w:t>
      </w:r>
    </w:p>
    <w:p w14:paraId="1806EA63" w14:textId="77777777" w:rsidR="00805402" w:rsidRDefault="00000000">
      <w:pPr>
        <w:spacing w:after="160"/>
      </w:pPr>
      <w:r>
        <w:rPr>
          <w:rFonts w:ascii="Arial" w:hAnsi="Arial"/>
        </w:rPr>
        <w:t>AI copyright law may add its own incentive to conceal. Under the Copyright Office's human-authorship rules, works disclosed as substantially AI-authored lose registration protection. The honest producer forfeits the exclusive rights the concealing producer keeps, which prices honesty at the value of a copyright.</w:t>
      </w:r>
      <w:r>
        <w:rPr>
          <w:rFonts w:ascii="Arial" w:hAnsi="Arial"/>
          <w:vertAlign w:val="superscript"/>
        </w:rPr>
        <w:footnoteReference w:id="55"/>
      </w:r>
      <w:r>
        <w:rPr>
          <w:rFonts w:ascii="Arial" w:hAnsi="Arial"/>
        </w:rPr>
        <w:t xml:space="preserve"> Consider what this does to the margin. Two publishers produce identical AI-drafted books; one labels it, one launders it under a human byline. The labeler loses the human-made premium and the registration; the launderer keeps both. Whatever one thinks of the human-authorship requirement as copyright policy, its information effect is perverse: the legal system itself pays the byline market to lie.</w:t>
      </w:r>
    </w:p>
    <w:p w14:paraId="5C5A940E" w14:textId="77777777" w:rsidR="00805402" w:rsidRDefault="00000000">
      <w:pPr>
        <w:spacing w:after="160"/>
      </w:pPr>
      <w:r>
        <w:rPr>
          <w:rFonts w:ascii="Arial" w:hAnsi="Arial"/>
        </w:rPr>
        <w:t>One recent article about AI authorship is relevant here. Noti-Victor builds a careful disclosure case against hidden AI authorship. His case rests on the label experiments described above, on the incentive to conceal machine drafting that the human-made premium creates, and on a menu of disclosure remedies for the AI case. But Noti-Victor expressly carves out human ghostwriting as "a question of disclosed attribution," which he calls "normatively different."</w:t>
      </w:r>
      <w:r>
        <w:rPr>
          <w:rFonts w:ascii="Arial" w:hAnsi="Arial"/>
          <w:vertAlign w:val="superscript"/>
        </w:rPr>
        <w:footnoteReference w:id="56"/>
      </w:r>
      <w:r>
        <w:rPr>
          <w:rFonts w:ascii="Arial" w:hAnsi="Arial"/>
        </w:rPr>
        <w:t xml:space="preserve"> The economic analysis does not treat the two cases as normatively different. They have the same asymmetry: the buyer cannot observe who produced the words. Same concealment incentive: the premium attaches to the false label. Same pooling dynamic: rational readers discount all bylines. The carve-out is a boundary his framework cannot defend, and this Article's framework does not need. The human ghost and the machine ghost sell the same signal; the analysis covers both or neither.</w:t>
      </w:r>
    </w:p>
    <w:p w14:paraId="19EED0DA" w14:textId="77777777" w:rsidR="00805402" w:rsidRDefault="00000000">
      <w:pPr>
        <w:spacing w:before="200" w:after="80"/>
      </w:pPr>
      <w:r>
        <w:rPr>
          <w:rFonts w:ascii="Arial" w:hAnsi="Arial"/>
          <w:b/>
          <w:sz w:val="24"/>
        </w:rPr>
        <w:t>D. Responses</w:t>
      </w:r>
    </w:p>
    <w:p w14:paraId="79CF0705" w14:textId="77777777" w:rsidR="00805402" w:rsidRDefault="00000000">
      <w:pPr>
        <w:spacing w:after="160"/>
      </w:pPr>
      <w:r>
        <w:rPr>
          <w:rFonts w:ascii="Arial" w:hAnsi="Arial"/>
        </w:rPr>
        <w:t xml:space="preserve">The first response is that readers do not care who wrote what: the name on the cover is decoration, and the words are the product. But if that were true, ghost authorship would not exist. The Supreme Court says buyers of communicative works care "primarily" about the </w:t>
      </w:r>
      <w:r>
        <w:rPr>
          <w:rFonts w:ascii="Arial" w:hAnsi="Arial"/>
        </w:rPr>
        <w:lastRenderedPageBreak/>
        <w:t>creator.</w:t>
      </w:r>
      <w:r>
        <w:rPr>
          <w:rFonts w:ascii="Arial" w:hAnsi="Arial"/>
          <w:vertAlign w:val="superscript"/>
        </w:rPr>
        <w:footnoteReference w:id="57"/>
      </w:r>
      <w:r>
        <w:rPr>
          <w:rFonts w:ascii="Arial" w:hAnsi="Arial"/>
        </w:rPr>
        <w:t xml:space="preserve"> The label experiments say buyers pay measurable premia for provenance.</w:t>
      </w:r>
      <w:r>
        <w:rPr>
          <w:rFonts w:ascii="Arial" w:hAnsi="Arial"/>
          <w:vertAlign w:val="superscript"/>
        </w:rPr>
        <w:footnoteReference w:id="58"/>
      </w:r>
      <w:r>
        <w:rPr>
          <w:rFonts w:ascii="Arial" w:hAnsi="Arial"/>
        </w:rPr>
        <w:t xml:space="preserve"> The debut-author evidence says the name carries the quality information the market runs on.</w:t>
      </w:r>
      <w:r>
        <w:rPr>
          <w:rFonts w:ascii="Arial" w:hAnsi="Arial"/>
          <w:vertAlign w:val="superscript"/>
        </w:rPr>
        <w:footnoteReference w:id="59"/>
      </w:r>
      <w:r>
        <w:rPr>
          <w:rFonts w:ascii="Arial" w:hAnsi="Arial"/>
        </w:rPr>
        <w:t xml:space="preserve"> And if readers were indifferent to authorship, concealment would be free, nondisclosure agreements would be pointless, the with-credit fee discount would not exist, and no one would pay seven figures for a byline they could have for nothing.</w:t>
      </w:r>
    </w:p>
    <w:p w14:paraId="164D4421" w14:textId="77777777" w:rsidR="00805402" w:rsidRDefault="00000000">
      <w:pPr>
        <w:spacing w:after="160"/>
      </w:pPr>
      <w:r>
        <w:rPr>
          <w:rFonts w:ascii="Arial" w:hAnsi="Arial"/>
        </w:rPr>
        <w:t>The second response is that sophisticated readers already discount for ghostwriting, so no one is fooled and nothing is lost. This response concedes the mechanism but misses the point. Rational discounting is the lemons harm, not its cure. Under pooling, the discount cannot discriminate: it falls on the earned name and the purchased name alike, which under-rewards authentic authors whether or not any individual reader is ever deceived. Akerlof's sellers of good cars were not victims of fraud; they were victims of a market failure. The discounted price (and resulting lower quantity) is the damage.</w:t>
      </w:r>
    </w:p>
    <w:p w14:paraId="2D3B5C76" w14:textId="77777777" w:rsidR="00805402" w:rsidRDefault="00000000">
      <w:pPr>
        <w:spacing w:after="160"/>
      </w:pPr>
      <w:r>
        <w:rPr>
          <w:rFonts w:ascii="Arial" w:hAnsi="Arial"/>
        </w:rPr>
        <w:t>The third response is that there is insufficient empirical evidence of lemons effects in the book market. There is no study measuring unraveling in expertise publishing: no price data isolating a ghost discount, no measured exit of authentic authors. On the other hand, the mechanism's ingredients are each documented: buyers rely on bylines (the debut-author evidence), buyers pay quality premia for provenance (the label studies), and sellers pay to conceal (the NDA norm). What is unmeasured is the market-level sum, not the parts.</w:t>
      </w:r>
      <w:r>
        <w:rPr>
          <w:rFonts w:ascii="Arial" w:hAnsi="Arial"/>
          <w:vertAlign w:val="superscript"/>
        </w:rPr>
        <w:footnoteReference w:id="60"/>
      </w:r>
      <w:r>
        <w:rPr>
          <w:rFonts w:ascii="Arial" w:hAnsi="Arial"/>
        </w:rPr>
        <w:t xml:space="preserve"> Second, the absence of measurement is understandable. Nobody can measure a ghost discount because nobody can observe which books are ghosted. At any rate, this Article agrees that careful study of market for lemons effects is an important next step; but the contribution of the Article is theoretical rather than empirical. The mechanisms are testable: revelation of ghosting should reduce a byline's sales and citation weight (the Andrews royalty drop is one observation); credited collaborations should sell at prices between sole bylines and anonymous works; and if attribution rules were implemented, the with-credit share should rise fastest in the expertise categories where the discount concentrates.</w:t>
      </w:r>
    </w:p>
    <w:p w14:paraId="5956F6BA" w14:textId="77777777" w:rsidR="00805402" w:rsidRDefault="00000000">
      <w:pPr>
        <w:spacing w:before="280" w:after="120"/>
      </w:pPr>
      <w:r>
        <w:rPr>
          <w:rFonts w:ascii="Arial" w:hAnsi="Arial"/>
          <w:b/>
          <w:sz w:val="26"/>
        </w:rPr>
        <w:t>IV. Supply-Side Effects: Reputation Erosion</w:t>
      </w:r>
    </w:p>
    <w:p w14:paraId="784431EE" w14:textId="77777777" w:rsidR="00805402" w:rsidRDefault="00000000">
      <w:pPr>
        <w:spacing w:after="160"/>
      </w:pPr>
      <w:r>
        <w:rPr>
          <w:rFonts w:ascii="Arial" w:hAnsi="Arial"/>
        </w:rPr>
        <w:t>The second injury falls on the supply side: on writers, and on the market that finds them. The economics here are about human capital and reputation. A writer's ability is invisible until it is demonstrated, and the demonstration is the authorship credit. Attributed work is how writing skill becomes reputation, and reputation is how skill gets hired, published, and paid. As Fisk explains, "credit is itself a form of human capital."</w:t>
      </w:r>
      <w:r>
        <w:rPr>
          <w:rFonts w:ascii="Arial" w:hAnsi="Arial"/>
          <w:vertAlign w:val="superscript"/>
        </w:rPr>
        <w:footnoteReference w:id="61"/>
      </w:r>
      <w:r>
        <w:rPr>
          <w:rFonts w:ascii="Arial" w:hAnsi="Arial"/>
        </w:rPr>
        <w:t xml:space="preserve"> A ghost contract converts that capital into cash for one writer, once, while degrading the public information everyone else would have used. The writer is paid; the market's knowledge of who can write is not. This Part explains the effect of this dynamic on the long-run supply of authors.</w:t>
      </w:r>
    </w:p>
    <w:p w14:paraId="6B3C7B08" w14:textId="77777777" w:rsidR="00805402" w:rsidRDefault="00000000">
      <w:pPr>
        <w:spacing w:before="200" w:after="80"/>
      </w:pPr>
      <w:r>
        <w:rPr>
          <w:rFonts w:ascii="Arial" w:hAnsi="Arial"/>
          <w:b/>
          <w:sz w:val="24"/>
        </w:rPr>
        <w:lastRenderedPageBreak/>
        <w:t>A. The Dynamic</w:t>
      </w:r>
    </w:p>
    <w:p w14:paraId="0A48E09D" w14:textId="77777777" w:rsidR="00805402" w:rsidRDefault="00000000">
      <w:pPr>
        <w:spacing w:after="160"/>
      </w:pPr>
      <w:r>
        <w:rPr>
          <w:rFonts w:ascii="Arial" w:hAnsi="Arial"/>
        </w:rPr>
        <w:t>Credit is human capital. In labor markets that cannot test ability directly, the credit trail is the accumulated public record that converts private skill into hireable reputation. Fisk explains that "the commodity value of credit is dissipated if the right to it is transferred because the information is lost."</w:t>
      </w:r>
      <w:r>
        <w:rPr>
          <w:rFonts w:ascii="Arial" w:hAnsi="Arial"/>
          <w:vertAlign w:val="superscript"/>
        </w:rPr>
        <w:footnoteReference w:id="62"/>
      </w:r>
      <w:r>
        <w:rPr>
          <w:rFonts w:ascii="Arial" w:hAnsi="Arial"/>
        </w:rPr>
        <w:t xml:space="preserve"> A dollar has the same value in anyone's hands. A byline informs only in the hands of the person who did the work; that is what makes it a signal. Transfer money and value is conserved. Transfer credit and its value is destroyed in transit, because the information the credit carried, that this person wrote this, is now false.</w:t>
      </w:r>
    </w:p>
    <w:p w14:paraId="28DDA082" w14:textId="77777777" w:rsidR="00805402" w:rsidRDefault="00000000">
      <w:pPr>
        <w:spacing w:after="160"/>
      </w:pPr>
      <w:r>
        <w:rPr>
          <w:rFonts w:ascii="Arial" w:hAnsi="Arial"/>
        </w:rPr>
        <w:t>Returns to attribution compound. Each credit raises the expected value of the next: the second book is easier to sell than the first, the third easier still, because every attributed success updates the market's estimate of the writer. An Australian court put it in one line: "Success breeds success, but only if the first success is known to potential clients."</w:t>
      </w:r>
      <w:r>
        <w:rPr>
          <w:rFonts w:ascii="Arial" w:hAnsi="Arial"/>
          <w:vertAlign w:val="superscript"/>
        </w:rPr>
        <w:footnoteReference w:id="63"/>
      </w:r>
      <w:r>
        <w:rPr>
          <w:rFonts w:ascii="Arial" w:hAnsi="Arial"/>
        </w:rPr>
        <w:t xml:space="preserve"> Landes and Posner count this recognition channel as a return to publications. This return compounds across a career.</w:t>
      </w:r>
      <w:r>
        <w:rPr>
          <w:rFonts w:ascii="Arial" w:hAnsi="Arial"/>
          <w:vertAlign w:val="superscript"/>
        </w:rPr>
        <w:footnoteReference w:id="64"/>
      </w:r>
      <w:r>
        <w:rPr>
          <w:rFonts w:ascii="Arial" w:hAnsi="Arial"/>
        </w:rPr>
        <w:t xml:space="preserve"> Early credits are the most valuable to accumulate, because they have the longest time to compound. They are also the most tempting to sell.</w:t>
      </w:r>
    </w:p>
    <w:p w14:paraId="59635AEA" w14:textId="77777777" w:rsidR="00805402" w:rsidRDefault="00000000">
      <w:pPr>
        <w:spacing w:after="160"/>
      </w:pPr>
      <w:r>
        <w:rPr>
          <w:rFonts w:ascii="Arial" w:hAnsi="Arial"/>
        </w:rPr>
        <w:t>Why do writers sell? Because the two ways of earning from writing have very different shapes. Original authorship pays in royalties and reputation. These returns are delayed, variable, and convex: most books earn little, a few earn careers. Ghosting pays a certain fee now. For a skilled writer without capital, which describes most young writers, taking the certain fee is individually rational, and the earlier the career stage, the more rational it is, which is exactly when the foregone compounding is largest. In controlled experiments, professional creators discount roughly half their fee to keep credit, a laboratory result whose magnitude should travel with caution; in the ghost trade's own guidance, "acknowledgement in print is often considered part of the fee."</w:t>
      </w:r>
      <w:r>
        <w:rPr>
          <w:rFonts w:ascii="Arial" w:hAnsi="Arial"/>
          <w:vertAlign w:val="superscript"/>
        </w:rPr>
        <w:footnoteReference w:id="65"/>
      </w:r>
      <w:r>
        <w:rPr>
          <w:rFonts w:ascii="Arial" w:hAnsi="Arial"/>
        </w:rPr>
        <w:t xml:space="preserve"> Because each individual sale is rational, the pattern is structural rather than anecdotal. No one needs to err for the market to lose its memory; everyone can be choosing correctly, one contract at a time.</w:t>
      </w:r>
    </w:p>
    <w:p w14:paraId="53A3ABFB" w14:textId="77777777" w:rsidR="00805402" w:rsidRDefault="00000000">
      <w:pPr>
        <w:spacing w:after="160"/>
      </w:pPr>
      <w:r>
        <w:rPr>
          <w:rFonts w:ascii="Arial" w:hAnsi="Arial"/>
        </w:rPr>
        <w:t>In an honest byline market, today's work builds tomorrow's name: output and reputation accumulate together, in the same person, and the market learns. The ghost contract routes the accumulation to the buyer. The work improves the named author's expected next-book value, speaking fees, and credibility (assets he can spend in every adjacent market) while the ghost's own name gains nothing at all. Her tenth book leaves her CV exactly where her ninth did. This is the point of the deal, not a side effect. Pharmaceutical sponsors, in the medical cases, "borrow the names" of credentialed academics because accumulated names are the asset being rented.</w:t>
      </w:r>
      <w:r>
        <w:rPr>
          <w:rFonts w:ascii="Arial" w:hAnsi="Arial"/>
          <w:vertAlign w:val="superscript"/>
        </w:rPr>
        <w:footnoteReference w:id="66"/>
      </w:r>
      <w:r>
        <w:rPr>
          <w:rFonts w:ascii="Arial" w:hAnsi="Arial"/>
        </w:rPr>
        <w:t xml:space="preserve"> What the sponsor rents, the market loses: the byline that should have recorded who did the work now records who paid for it.</w:t>
      </w:r>
    </w:p>
    <w:p w14:paraId="4909A861" w14:textId="77777777" w:rsidR="00805402" w:rsidRDefault="00000000">
      <w:pPr>
        <w:spacing w:before="200" w:after="80"/>
      </w:pPr>
      <w:r>
        <w:rPr>
          <w:rFonts w:ascii="Arial" w:hAnsi="Arial"/>
          <w:b/>
          <w:sz w:val="24"/>
        </w:rPr>
        <w:lastRenderedPageBreak/>
        <w:t>B. The Social Cost: The Market Loses Its Memory</w:t>
      </w:r>
    </w:p>
    <w:p w14:paraId="128D762B" w14:textId="77777777" w:rsidR="00805402" w:rsidRDefault="00000000">
      <w:pPr>
        <w:spacing w:after="160"/>
      </w:pPr>
      <w:r>
        <w:rPr>
          <w:rFonts w:ascii="Arial" w:hAnsi="Arial"/>
        </w:rPr>
        <w:t>Here is the cost, in terms of information. Attributed output is a public good. A track record is non-rival, because every future reader, editor, and publisher can consult it without using it up. It is also excludable by no one once published. The byline system produces this public good as a free byproduct of ordinary publishing: every honestly attributed book adds to the market's public record of writing talent, at zero marginal cost, simply by being published under the name of the person who wrote it. Ghost contracts privatize the labor and destroy the byproduct. The book still appears; the fee still clears; but the market's record now credits the wrong name. The work happens. The learning does not.</w:t>
      </w:r>
    </w:p>
    <w:p w14:paraId="57FB1CCC" w14:textId="77777777" w:rsidR="00805402" w:rsidRDefault="00000000">
      <w:pPr>
        <w:spacing w:after="160"/>
      </w:pPr>
      <w:r>
        <w:rPr>
          <w:rFonts w:ascii="Arial" w:hAnsi="Arial"/>
        </w:rPr>
        <w:t>Why doesn't the market price the loss? Because the parties who would pay to prevent it cannot be at the table: the future readers and publishers who would have valued the ghost's track record are unidentifiable at contract time. So the price of every ghost contract is wrong by construction. It reflects what the byline is worth to the buyer, never what the record was worth to everyone who would have consulted it (see Part VI). One concession sharpens the point. The ghost herself does price part of the record: her fee already reflects her own foregone future earnings. What the fee cannot capture is the surplus the record would have delivered to everyone else: the matching value to the editors and readers who never contract with her. That wedge, not the whole reputational value, is the externality.</w:t>
      </w:r>
    </w:p>
    <w:p w14:paraId="578C9B65" w14:textId="77777777" w:rsidR="00805402" w:rsidRDefault="00000000">
      <w:pPr>
        <w:spacing w:after="160"/>
      </w:pPr>
      <w:r>
        <w:rPr>
          <w:rFonts w:ascii="Arial" w:hAnsi="Arial"/>
        </w:rPr>
        <w:t>The asset the market loses is demonstrable: it is the same credit that creators, in the experiments already described, refuse to sell cheaply.</w:t>
      </w:r>
      <w:r>
        <w:rPr>
          <w:rFonts w:ascii="Arial" w:hAnsi="Arial"/>
          <w:vertAlign w:val="superscript"/>
        </w:rPr>
        <w:footnoteReference w:id="67"/>
      </w:r>
      <w:r>
        <w:rPr>
          <w:rFonts w:ascii="Arial" w:hAnsi="Arial"/>
        </w:rPr>
        <w:t xml:space="preserve"> Misattribution operates as "a particularly severe restriction on labor market mobility."</w:t>
      </w:r>
      <w:r>
        <w:rPr>
          <w:rFonts w:ascii="Arial" w:hAnsi="Arial"/>
          <w:vertAlign w:val="superscript"/>
        </w:rPr>
        <w:footnoteReference w:id="68"/>
      </w:r>
      <w:r>
        <w:rPr>
          <w:rFonts w:ascii="Arial" w:hAnsi="Arial"/>
        </w:rPr>
        <w:t xml:space="preserve"> And in science, where bylines have begun to detach from writing labor, the credit economy is visibly distorted. Guest and sold authorship are now studied as an institutional pathology.</w:t>
      </w:r>
      <w:r>
        <w:rPr>
          <w:rFonts w:ascii="Arial" w:hAnsi="Arial"/>
          <w:vertAlign w:val="superscript"/>
        </w:rPr>
        <w:footnoteReference w:id="69"/>
      </w:r>
    </w:p>
    <w:p w14:paraId="48325100" w14:textId="77777777" w:rsidR="00805402" w:rsidRDefault="00000000">
      <w:pPr>
        <w:spacing w:after="160"/>
      </w:pPr>
      <w:r>
        <w:rPr>
          <w:rFonts w:ascii="Arial" w:hAnsi="Arial"/>
        </w:rPr>
        <w:t>The losses compound, because careers do. Each attributed work raises the value of the next; each unattributed work therefore removes a rung from a career that would have produced more attributed work. The compounding loss is largest where ghosting concentrates, among skilled writers early in their careers.</w:t>
      </w:r>
    </w:p>
    <w:p w14:paraId="4D5A48A3" w14:textId="77777777" w:rsidR="00805402" w:rsidRDefault="00000000">
      <w:pPr>
        <w:spacing w:before="200" w:after="80"/>
      </w:pPr>
      <w:r>
        <w:rPr>
          <w:rFonts w:ascii="Arial" w:hAnsi="Arial"/>
          <w:b/>
          <w:sz w:val="24"/>
        </w:rPr>
        <w:t>C. Responses</w:t>
      </w:r>
    </w:p>
    <w:p w14:paraId="1BA174AD" w14:textId="77777777" w:rsidR="00805402" w:rsidRDefault="00000000">
      <w:pPr>
        <w:spacing w:after="160"/>
      </w:pPr>
      <w:r>
        <w:rPr>
          <w:rFonts w:ascii="Arial" w:hAnsi="Arial"/>
        </w:rPr>
        <w:t>First, maybe ghosting’s secure income keeps more writers writing: the fee smooths the risk of authorship. On the margin, some writers stay who would otherwise leave for advertising or law school. Here, one empirical question is what share of ghost authors also write under their own name. The effect documented in the previous section will be strongest for ‘pure’ ghosts. On the other hand, even partial ghost authors will experience some weakening of their reputation from ghosting. At any rate, further economic analysis of ghost authorship should analyze the interaction of these two supply effects.</w:t>
      </w:r>
    </w:p>
    <w:p w14:paraId="1C05D410" w14:textId="77777777" w:rsidR="00805402" w:rsidRDefault="00000000">
      <w:pPr>
        <w:spacing w:after="160"/>
      </w:pPr>
      <w:r>
        <w:rPr>
          <w:rFonts w:ascii="Arial" w:hAnsi="Arial"/>
        </w:rPr>
        <w:lastRenderedPageBreak/>
        <w:t>The second response is that money is fungible. The ghost simply chose cash over credit, and the choice was hers to make. Here, the problem is that writing reputation is skill-specific human capital, and cash cannot repurchase it: no fee the ghost banks today makes future editors believe her past output was hers.</w:t>
      </w:r>
      <w:r>
        <w:rPr>
          <w:rFonts w:ascii="Arial" w:hAnsi="Arial"/>
          <w:vertAlign w:val="superscript"/>
        </w:rPr>
        <w:footnoteReference w:id="70"/>
      </w:r>
    </w:p>
    <w:p w14:paraId="26A51AAB" w14:textId="77777777" w:rsidR="00805402" w:rsidRDefault="00000000">
      <w:pPr>
        <w:spacing w:after="160"/>
      </w:pPr>
      <w:r>
        <w:rPr>
          <w:rFonts w:ascii="Arial" w:hAnsi="Arial"/>
        </w:rPr>
        <w:t>A related response says reputation can take care of itself: in standard models, sellers of quality earn a price premium that makes honesty self-enforcing, so authentic authors should be able to out-earn the pool without any rule. The models assume the one thing this market lacks. A quality premium disciplines sellers only when buyers can eventually observe quality and attach it to the seller's name; the ghost market severs exactly that attachment, and conceals the severing. Repeat play rewards the name that appears on the cover, whoever wrote the words behind it.</w:t>
      </w:r>
      <w:r>
        <w:rPr>
          <w:rFonts w:ascii="Arial" w:hAnsi="Arial"/>
          <w:vertAlign w:val="superscript"/>
        </w:rPr>
        <w:footnoteReference w:id="71"/>
      </w:r>
    </w:p>
    <w:p w14:paraId="26FCD615" w14:textId="77777777" w:rsidR="00805402" w:rsidRDefault="00000000">
      <w:pPr>
        <w:spacing w:after="160"/>
      </w:pPr>
      <w:r>
        <w:rPr>
          <w:rFonts w:ascii="Arial" w:hAnsi="Arial"/>
        </w:rPr>
        <w:t>The third response is that some people are good at writing up others' ideas (prosers, not idea people), and ghosting is how the market lets them specialize. Then disclose it. "With Jane Roe" is exactly the label for that division of labor, and the market prices it every day on thousands of covers. Specialization requires the collaboration; it never requires the false byline. Only the concealment premium requires that. And the concealment premium is the rent this Article's three arguments condemn.</w:t>
      </w:r>
      <w:r>
        <w:rPr>
          <w:rFonts w:ascii="Arial" w:hAnsi="Arial"/>
          <w:vertAlign w:val="superscript"/>
        </w:rPr>
        <w:footnoteReference w:id="72"/>
      </w:r>
    </w:p>
    <w:p w14:paraId="4CADB3CD" w14:textId="77777777" w:rsidR="00805402" w:rsidRDefault="00000000">
      <w:pPr>
        <w:spacing w:before="200" w:after="80"/>
      </w:pPr>
      <w:r>
        <w:rPr>
          <w:rFonts w:ascii="Arial" w:hAnsi="Arial"/>
          <w:b/>
          <w:sz w:val="24"/>
        </w:rPr>
        <w:t>D. Distinctness from Market for Lemons</w:t>
      </w:r>
    </w:p>
    <w:p w14:paraId="3ED7A6F3" w14:textId="77777777" w:rsidR="00805402" w:rsidRDefault="00000000">
      <w:pPr>
        <w:spacing w:after="160"/>
      </w:pPr>
      <w:r>
        <w:rPr>
          <w:rFonts w:ascii="Arial" w:hAnsi="Arial"/>
        </w:rPr>
        <w:t>This problem is distinct from the lemons problem. The lemons problem is missing information about books in the product market: the buyer cannot tell which book was written by its named author. This is missing information about writers in the labor market: the editor cannot tell who can write. Cure every buyer's problem, granting perfect knowledge of every book's provenance on every cover, and the labor market's problem remains untouched: the ghost's own name still carries no record of the fifteen books she wrote, so the publishers and editors hiring writers still face a CV channel that ghosting has emptied. Different market, different missing fact, different victims. The product market loses sorting; the labor market loses memory.</w:t>
      </w:r>
    </w:p>
    <w:p w14:paraId="722C8C32" w14:textId="77777777" w:rsidR="00805402" w:rsidRDefault="00000000">
      <w:pPr>
        <w:spacing w:after="160"/>
      </w:pPr>
      <w:r>
        <w:rPr>
          <w:rFonts w:ascii="Arial" w:hAnsi="Arial"/>
        </w:rPr>
        <w:t>To see why this challenge is separable from the market for lemons, consider what would happen under one policy solution. Imagine mandating a buyer-facing label: "professionally assisted," say, on every cover, with no names. This would resolve the market for lemons. But the ghost's name still accumulates no reputation, because a generic label credits no one; and the named author's name still accumulates falsely, because the label does not say who did the work. The buyer information cures the demand side. Only attribution restores the supply side: a credit that identifies a particular writer, even a writer working under a stable pen name, so that her record can grow. The record needs a name, not a warning.</w:t>
      </w:r>
      <w:r>
        <w:rPr>
          <w:rFonts w:ascii="Arial" w:hAnsi="Arial"/>
          <w:vertAlign w:val="superscript"/>
        </w:rPr>
        <w:footnoteReference w:id="73"/>
      </w:r>
    </w:p>
    <w:p w14:paraId="320B44CA" w14:textId="77777777" w:rsidR="00805402" w:rsidRDefault="00000000">
      <w:pPr>
        <w:spacing w:before="280" w:after="120"/>
      </w:pPr>
      <w:r>
        <w:rPr>
          <w:rFonts w:ascii="Arial" w:hAnsi="Arial"/>
          <w:b/>
          <w:sz w:val="26"/>
        </w:rPr>
        <w:lastRenderedPageBreak/>
        <w:t>V. Third-Party Effects: Corrupted Public Discourse</w:t>
      </w:r>
    </w:p>
    <w:p w14:paraId="755ABF23" w14:textId="77777777" w:rsidR="00805402" w:rsidRDefault="00000000">
      <w:pPr>
        <w:spacing w:after="160"/>
      </w:pPr>
      <w:r>
        <w:rPr>
          <w:rFonts w:ascii="Arial" w:hAnsi="Arial"/>
        </w:rPr>
        <w:t>The third injury falls on everyone else: the people who never buy the book and never see its cover. For them the byline is not shopping information. It is testimony: the public claim that a named person stands behind a book's contents. That testimony circulates through reviews, citations, journalism, and conversation, and people act on it. They vote, prescribe, hire, and argue on the strength of who said what. Ghost authorship corrupts the testimony system in one movement with two phases: false authority goes in, and no correction comes out. This Part takes the phases in turn.</w:t>
      </w:r>
    </w:p>
    <w:p w14:paraId="3563A60A" w14:textId="77777777" w:rsidR="00805402" w:rsidRDefault="00000000">
      <w:pPr>
        <w:spacing w:before="200" w:after="80"/>
      </w:pPr>
      <w:r>
        <w:rPr>
          <w:rFonts w:ascii="Arial" w:hAnsi="Arial"/>
          <w:b/>
          <w:sz w:val="24"/>
        </w:rPr>
        <w:t>A. The Dynamic</w:t>
      </w:r>
    </w:p>
    <w:p w14:paraId="4AE59EEE" w14:textId="77777777" w:rsidR="00805402" w:rsidRDefault="00000000">
      <w:pPr>
        <w:spacing w:after="160"/>
      </w:pPr>
      <w:r>
        <w:rPr>
          <w:rFonts w:ascii="Arial" w:hAnsi="Arial"/>
        </w:rPr>
        <w:t>An authored book is a public commitment. The byline stakes the named person's credibility on the content: in public, on the record, revocably by nothing short of public retraction. This is what distinguishes a book from a leaflet, a white paper, or an anonymous post, and it is why books carry an evidentiary weight in public life that no unsigned document can: someone with a name to lose has put the name on the line. In this way, authoring a book is more than mere “cheap talk”: what the author says has consequences for how they are received in the future.</w:t>
      </w:r>
    </w:p>
    <w:p w14:paraId="660EED5F" w14:textId="77777777" w:rsidR="00805402" w:rsidRDefault="00000000">
      <w:pPr>
        <w:spacing w:after="160"/>
      </w:pPr>
      <w:r>
        <w:rPr>
          <w:rFonts w:ascii="Arial" w:hAnsi="Arial"/>
        </w:rPr>
        <w:t>Audiences evaluate claims partly by who makes them. This is not a failure of public rationality; it is a division of cognitive labor. There is too much information to carefully assess every case on the merits, so rational readers rely on signals, economizing by weighting sources. Ghost authorship distorts this process at the source. A CEO who buys a ghosted authorship title is not just buying prose; he is buying the appearance of having made a costly commitment.</w:t>
      </w:r>
    </w:p>
    <w:p w14:paraId="65B53857" w14:textId="77777777" w:rsidR="00805402" w:rsidRDefault="00000000">
      <w:pPr>
        <w:spacing w:after="160"/>
      </w:pPr>
      <w:r>
        <w:rPr>
          <w:rFonts w:ascii="Arial" w:hAnsi="Arial"/>
        </w:rPr>
        <w:t>The byline signals two different types of things. First, it signals effort and skill: someone did the years of work.</w:t>
      </w:r>
      <w:r>
        <w:rPr>
          <w:rFonts w:ascii="Arial" w:hAnsi="Arial"/>
          <w:vertAlign w:val="superscript"/>
        </w:rPr>
        <w:footnoteReference w:id="74"/>
      </w:r>
      <w:r>
        <w:rPr>
          <w:rFonts w:ascii="Arial" w:hAnsi="Arial"/>
        </w:rPr>
        <w:t xml:space="preserve"> Second, it signals vouching: the named person stands behind the claims. Ghost authorship can leave the vouching intact, when the named author reviews and adopts every chapter. What it always distorts is the effort signal, and the effort signal is what does the work in credential markets: the boards, voters, and audiences of this Part treat the book as evidence of the named author's own capacity, not merely of his willingness to endorse a manuscript. The market's own pricing says readers understand the sole byline as the stronger, effort-inclusive claim. The fee discount alone would not show this; a ghost might simply accept less pay because credit compensates her. The identification comes from the buyer's side: name buyers systematically pay more to keep the ghost off the cover, and no one pays a premium to avoid a label that tells readers nothing they do not already assume.</w:t>
      </w:r>
      <w:r>
        <w:rPr>
          <w:rFonts w:ascii="Arial" w:hAnsi="Arial"/>
          <w:vertAlign w:val="superscript"/>
        </w:rPr>
        <w:footnoteReference w:id="75"/>
      </w:r>
    </w:p>
    <w:p w14:paraId="743F51D8" w14:textId="77777777" w:rsidR="00805402" w:rsidRDefault="00000000">
      <w:pPr>
        <w:spacing w:after="160"/>
      </w:pPr>
      <w:r>
        <w:rPr>
          <w:rFonts w:ascii="Arial" w:hAnsi="Arial"/>
        </w:rPr>
        <w:t>In this way, the broader public can rationally use book authorship as a signal of expertise. This point is especially true for books from experts: medical claims, investment advice, and policy predictions. In this domain, source-weighting is often the only evaluative tool a lay audience has at all.</w:t>
      </w:r>
      <w:r>
        <w:rPr>
          <w:rFonts w:ascii="Arial" w:hAnsi="Arial"/>
          <w:vertAlign w:val="superscript"/>
        </w:rPr>
        <w:footnoteReference w:id="76"/>
      </w:r>
      <w:r>
        <w:rPr>
          <w:rFonts w:ascii="Arial" w:hAnsi="Arial"/>
        </w:rPr>
        <w:t xml:space="preserve"> A system that allocates belief by source is therefore not a shortcut around thinking.</w:t>
      </w:r>
    </w:p>
    <w:p w14:paraId="3C33CF6B" w14:textId="77777777" w:rsidR="00805402" w:rsidRDefault="00000000">
      <w:pPr>
        <w:spacing w:after="160"/>
      </w:pPr>
      <w:r>
        <w:rPr>
          <w:rFonts w:ascii="Arial" w:hAnsi="Arial"/>
        </w:rPr>
        <w:lastRenderedPageBreak/>
        <w:t>Public discourse routinely organizes information around authorship. Reviews report that "the CEO argues." Citations credit the named author, in court filings as in seminar rooms. Journalists quote the book as its byline's views; syllabi assign it as its byline's thought; blurbs, panels, and confirmation hearings treat authorship as evidence of judgment. Each node of public information channels treats authorship signals as testimony about who holds which views.</w:t>
      </w:r>
    </w:p>
    <w:p w14:paraId="2AA910C4" w14:textId="77777777" w:rsidR="00805402" w:rsidRDefault="00000000">
      <w:pPr>
        <w:spacing w:after="160"/>
      </w:pPr>
      <w:r>
        <w:rPr>
          <w:rFonts w:ascii="Arial" w:hAnsi="Arial"/>
        </w:rPr>
        <w:t>We could imagine a different world, in which journalists carefully research book contracts, and carefully weight the expertise of CEOs based on their contribution to books. But this is not even possible today, because much of the information is governed by non-disclosure agreements.</w:t>
      </w:r>
    </w:p>
    <w:p w14:paraId="32F50153" w14:textId="77777777" w:rsidR="00805402" w:rsidRDefault="00000000">
      <w:pPr>
        <w:spacing w:after="160"/>
      </w:pPr>
      <w:r>
        <w:rPr>
          <w:rFonts w:ascii="Arial" w:hAnsi="Arial"/>
        </w:rPr>
        <w:t>This effect has been noted in the medical literature. There, readers are harmed "whether or not they read the article," because the article's existence under its authors' names is itself the information that circulates.</w:t>
      </w:r>
      <w:r>
        <w:rPr>
          <w:rFonts w:ascii="Arial" w:hAnsi="Arial"/>
          <w:vertAlign w:val="superscript"/>
        </w:rPr>
        <w:footnoteReference w:id="77"/>
      </w:r>
    </w:p>
    <w:p w14:paraId="7C40A9FC" w14:textId="77777777" w:rsidR="00805402" w:rsidRDefault="00000000">
      <w:pPr>
        <w:spacing w:after="160"/>
      </w:pPr>
      <w:r>
        <w:rPr>
          <w:rFonts w:ascii="Arial" w:hAnsi="Arial"/>
        </w:rPr>
        <w:t>A false byline is therefore a misrepresentation to the discourse, not merely to the buyer.</w:t>
      </w:r>
      <w:r>
        <w:rPr>
          <w:rFonts w:ascii="Arial" w:hAnsi="Arial"/>
          <w:vertAlign w:val="superscript"/>
        </w:rPr>
        <w:footnoteReference w:id="78"/>
      </w:r>
    </w:p>
    <w:p w14:paraId="57C62AC5" w14:textId="77777777" w:rsidR="00805402" w:rsidRDefault="00000000">
      <w:pPr>
        <w:spacing w:after="160"/>
      </w:pPr>
      <w:r>
        <w:rPr>
          <w:rFonts w:ascii="Arial" w:hAnsi="Arial"/>
        </w:rPr>
        <w:t xml:space="preserve">Concrete cases are easy to find. In politics, </w:t>
      </w:r>
      <w:r>
        <w:rPr>
          <w:rFonts w:ascii="Arial" w:hAnsi="Arial"/>
          <w:i/>
        </w:rPr>
        <w:t>Profiles in Courage</w:t>
      </w:r>
      <w:r>
        <w:rPr>
          <w:rFonts w:ascii="Arial" w:hAnsi="Arial"/>
        </w:rPr>
        <w:t xml:space="preserve"> carried a Pulitzer Prize and a Senate career's intellectual credential for five decades before Theodore Sorensen acknowledged drafting most of it; the credential did electoral work long before any reader could discount it.</w:t>
      </w:r>
      <w:r>
        <w:rPr>
          <w:rFonts w:ascii="Arial" w:hAnsi="Arial"/>
          <w:vertAlign w:val="superscript"/>
        </w:rPr>
        <w:footnoteReference w:id="79"/>
      </w:r>
      <w:r>
        <w:rPr>
          <w:rFonts w:ascii="Arial" w:hAnsi="Arial"/>
        </w:rPr>
        <w:t xml:space="preserve"> In medicine, review articles supporting hormone therapy circulated for years under the bylines of academic physicians while being drafted by a firm the manufacturer hired; the physicians' names lent the articles the authority that moved prescriptions.</w:t>
      </w:r>
      <w:r>
        <w:rPr>
          <w:rFonts w:ascii="Arial" w:hAnsi="Arial"/>
          <w:vertAlign w:val="superscript"/>
        </w:rPr>
        <w:footnoteReference w:id="80"/>
      </w:r>
      <w:r>
        <w:rPr>
          <w:rFonts w:ascii="Arial" w:hAnsi="Arial"/>
        </w:rPr>
        <w:t xml:space="preserve"> In business, chief executives publish ghostwritten books that are then cited in board searches and conference invitations as evidence of management judgment.</w:t>
      </w:r>
      <w:r>
        <w:rPr>
          <w:rFonts w:ascii="Arial" w:hAnsi="Arial"/>
          <w:vertAlign w:val="superscript"/>
        </w:rPr>
        <w:footnoteReference w:id="81"/>
      </w:r>
    </w:p>
    <w:p w14:paraId="6863BBEE" w14:textId="77777777" w:rsidR="00805402" w:rsidRDefault="00000000">
      <w:pPr>
        <w:spacing w:before="200" w:after="80"/>
      </w:pPr>
      <w:r>
        <w:rPr>
          <w:rFonts w:ascii="Arial" w:hAnsi="Arial"/>
          <w:b/>
          <w:sz w:val="24"/>
        </w:rPr>
        <w:t>B. The Social Cost: Authority Nobody Earned, Corrected by No One</w:t>
      </w:r>
    </w:p>
    <w:p w14:paraId="552D76AC" w14:textId="77777777" w:rsidR="00805402" w:rsidRDefault="00000000">
      <w:pPr>
        <w:spacing w:after="160"/>
      </w:pPr>
      <w:r>
        <w:rPr>
          <w:rFonts w:ascii="Arial" w:hAnsi="Arial"/>
        </w:rPr>
        <w:t>There are at least two aspects of this social cost: the direct effect on the public, and the secondary incentive effect on the production of information.</w:t>
      </w:r>
    </w:p>
    <w:p w14:paraId="4C2E7CD3" w14:textId="77777777" w:rsidR="00805402" w:rsidRDefault="00000000">
      <w:pPr>
        <w:spacing w:after="160"/>
      </w:pPr>
      <w:r>
        <w:rPr>
          <w:rFonts w:ascii="Arial" w:hAnsi="Arial"/>
        </w:rPr>
        <w:t>First, public discourse loses its system for weighing and correcting claims. The system is old and cheap: weigh a claim by who stakes their name on it, and trust the signal because being wrong under your own name is expensive. No one can check every claim; a society with limited attention allocates belief by authorship. Ghost authorship damages both the weighing of claims by authorship signal, and the incentive for (ghost) authors to diligently avoid errors.</w:t>
      </w:r>
    </w:p>
    <w:p w14:paraId="2E778A69" w14:textId="77777777" w:rsidR="00805402" w:rsidRDefault="00000000">
      <w:pPr>
        <w:spacing w:after="160"/>
      </w:pPr>
      <w:r>
        <w:rPr>
          <w:rFonts w:ascii="Arial" w:hAnsi="Arial"/>
        </w:rPr>
        <w:t>Start with the weighing. Ghost authorship undermines the public’s ability to weigh claims. With ghost authorship, a general appears to vouch for the strategy, a physician for the drug, an executive for the judgment. Third parties assign the claims an expert weight nobody earned.</w:t>
      </w:r>
    </w:p>
    <w:p w14:paraId="3B05BD3B" w14:textId="77777777" w:rsidR="00805402" w:rsidRDefault="00000000">
      <w:pPr>
        <w:spacing w:after="160"/>
      </w:pPr>
      <w:r>
        <w:rPr>
          <w:rFonts w:ascii="Arial" w:hAnsi="Arial"/>
        </w:rPr>
        <w:lastRenderedPageBreak/>
        <w:t>This can have effects across fields associated with expertise. Medical ghost authorship has influenced how doctors prescribe drugs. In litigation over the painkiller Vioxx, internal documents showed that manuscripts had been completed before the academic "authors" were recruited to sign them. In litigation over hormone therapy, Wyeth was shown to have placed dozens of ghostwritten review articles supporting its product in the medical literature. Physicians read that literature, and prescribing follows it.</w:t>
      </w:r>
      <w:r>
        <w:rPr>
          <w:rFonts w:ascii="Arial" w:hAnsi="Arial"/>
          <w:vertAlign w:val="superscript"/>
        </w:rPr>
        <w:footnoteReference w:id="82"/>
      </w:r>
      <w:r>
        <w:rPr>
          <w:rFonts w:ascii="Arial" w:hAnsi="Arial"/>
        </w:rPr>
        <w:t xml:space="preserve"> In politics, ghost authored books circulate to the electorate at scale: the campaign book is a genre built on the byline. In business, CEOs use ghost authored books to cement their credentials for corporate boards.</w:t>
      </w:r>
    </w:p>
    <w:p w14:paraId="6639472A" w14:textId="77777777" w:rsidR="00805402" w:rsidRDefault="00000000">
      <w:pPr>
        <w:spacing w:after="160"/>
      </w:pPr>
      <w:r>
        <w:rPr>
          <w:rFonts w:ascii="Arial" w:hAnsi="Arial"/>
        </w:rPr>
        <w:t>As the authorship signal weakens, third parties bear the cost. The cost lands on the people who acted on the testimony without buying anything: the patient whose physician read the journal, the shareholder whose board hired the author-executive, the voter who took the campaign book as evidence of a mind.</w:t>
      </w:r>
    </w:p>
    <w:p w14:paraId="3E6C0214" w14:textId="77777777" w:rsidR="00805402" w:rsidRDefault="00000000">
      <w:pPr>
        <w:spacing w:after="160"/>
      </w:pPr>
      <w:r>
        <w:rPr>
          <w:rFonts w:ascii="Arial" w:hAnsi="Arial"/>
        </w:rPr>
        <w:t>The problem also involves a selection effect. When authority can be bought, the claims that circulate with expert weight are the claims whose sponsors could afford the byline. Public discourse stops tracing what actual experts believe, and starts tracking what promoters can spend.</w:t>
      </w:r>
      <w:r>
        <w:rPr>
          <w:rFonts w:ascii="Arial" w:hAnsi="Arial"/>
          <w:vertAlign w:val="superscript"/>
        </w:rPr>
        <w:footnoteReference w:id="83"/>
      </w:r>
    </w:p>
    <w:p w14:paraId="5098A1B7" w14:textId="77777777" w:rsidR="00805402" w:rsidRDefault="00000000">
      <w:pPr>
        <w:spacing w:after="160"/>
      </w:pPr>
      <w:r>
        <w:rPr>
          <w:rFonts w:ascii="Arial" w:hAnsi="Arial"/>
        </w:rPr>
        <w:t>In general, these kinds of dynamics could be mitigated by correction dynamics. The problem, though, is that the most effective correction dynamic is the incentive for authors themselves to avoid errors. Since errors can undermine future reputation, each author will try to minimize errors in their own work, to improve their human capital.</w:t>
      </w:r>
    </w:p>
    <w:p w14:paraId="0A80CB44" w14:textId="77777777" w:rsidR="00805402" w:rsidRDefault="00000000">
      <w:pPr>
        <w:spacing w:after="160"/>
      </w:pPr>
      <w:r>
        <w:rPr>
          <w:rFonts w:ascii="Arial" w:hAnsi="Arial"/>
        </w:rPr>
        <w:t>Finally, AI ghost authorship may make this problem even worse. An AI-drafted book under a human byline enters discourse as a person's considered views when it may be no one's considered views at all. This makes the problem worse in two ways. First, it lowers the cost of signaling expertise even further, since any putative expert can very quickly produce a book. Second, it lowers even further the incentives for error correction in the ghost ‘author’: you can’t cross-examine a statistical process.</w:t>
      </w:r>
    </w:p>
    <w:p w14:paraId="0A02A4C2" w14:textId="77777777" w:rsidR="00805402" w:rsidRDefault="00000000">
      <w:pPr>
        <w:spacing w:before="200" w:after="80"/>
      </w:pPr>
      <w:r>
        <w:rPr>
          <w:rFonts w:ascii="Arial" w:hAnsi="Arial"/>
          <w:b/>
          <w:sz w:val="24"/>
        </w:rPr>
        <w:t>C. Scope</w:t>
      </w:r>
    </w:p>
    <w:p w14:paraId="22774AAB" w14:textId="77777777" w:rsidR="00805402" w:rsidRDefault="00000000">
      <w:pPr>
        <w:spacing w:after="160"/>
      </w:pPr>
      <w:r>
        <w:rPr>
          <w:rFonts w:ascii="Arial" w:hAnsi="Arial"/>
        </w:rPr>
        <w:t>The third-party argument is strongest for policy, expert, and credentialed nonfiction, where the discourse actively consumes bylines as evidence. In these domains, books are cited in hearings, assigned in classrooms, and quoted as their named authors' positions. The argument is weaker for memoir, whose testimony is personal rather than propositional. And it is near zero for branded fiction: no one updates beliefs about the world from a thriller's byline.</w:t>
      </w:r>
    </w:p>
    <w:p w14:paraId="557851B2" w14:textId="77777777" w:rsidR="00805402" w:rsidRDefault="00000000">
      <w:pPr>
        <w:spacing w:after="160"/>
      </w:pPr>
      <w:r>
        <w:rPr>
          <w:rFonts w:ascii="Arial" w:hAnsi="Arial"/>
        </w:rPr>
        <w:t xml:space="preserve">Notice that this roughly matches the scope of the other two arguments as well. All three arguments are strongest for books signaling expertise, are moderately strong for memoir, and </w:t>
      </w:r>
      <w:r>
        <w:rPr>
          <w:rFonts w:ascii="Arial" w:hAnsi="Arial"/>
        </w:rPr>
        <w:lastRenderedPageBreak/>
        <w:t>are least strong for fiction. This is because all three arguments explore consequences of a weakening authorship signal, and authorship signal matters similarly in these three markets.</w:t>
      </w:r>
      <w:r>
        <w:rPr>
          <w:rFonts w:ascii="Arial" w:hAnsi="Arial"/>
          <w:vertAlign w:val="superscript"/>
        </w:rPr>
        <w:footnoteReference w:id="84"/>
      </w:r>
    </w:p>
    <w:p w14:paraId="03E2EFC3" w14:textId="77777777" w:rsidR="00805402" w:rsidRDefault="00000000">
      <w:pPr>
        <w:spacing w:before="200" w:after="80"/>
      </w:pPr>
      <w:r>
        <w:rPr>
          <w:rFonts w:ascii="Arial" w:hAnsi="Arial"/>
          <w:b/>
          <w:sz w:val="24"/>
        </w:rPr>
        <w:t>D. Distinctness from Previous Arguments</w:t>
      </w:r>
    </w:p>
    <w:p w14:paraId="3414B401" w14:textId="77777777" w:rsidR="00805402" w:rsidRDefault="00000000">
      <w:pPr>
        <w:spacing w:after="160"/>
      </w:pPr>
      <w:r>
        <w:rPr>
          <w:rFonts w:ascii="Arial" w:hAnsi="Arial"/>
        </w:rPr>
        <w:t>Why is this not the lemons argument again? Same signal, different victims, different cure, and the difference decides the remedies. The lemons argument is about buyers: people who see the product and its labels before paying. Give them a disclosure and their problem is fixed: they can read it at the point of sale. The third-party argument is about non-buyers: people who meet the byline only through reviews, citations, and conversation. A disclosure inside a book they never open cannot reach them, no matter how prominent, no matter how honest. Run the thought experiment. Mandate disclosure inside every ghosted book in America, even named credit on the copyright page. The review still credits the named author. The citation does the same. The marketing still says the author is the CEO. The buyer's information is fixed; the discourse's is not, because the discourse does not read cover pages. It reads bylines.</w:t>
      </w:r>
    </w:p>
    <w:p w14:paraId="194A4BA1" w14:textId="77777777" w:rsidR="00805402" w:rsidRDefault="00000000">
      <w:pPr>
        <w:spacing w:after="160"/>
      </w:pPr>
      <w:r>
        <w:rPr>
          <w:rFonts w:ascii="Arial" w:hAnsi="Arial"/>
        </w:rPr>
        <w:t>What would reach the discourse is attribution that travels with the work: the byline itself made truthful on the cover, in the marketing, and in the metadata the review copies arrive with, so that every downstream node inherits the correction automatically, the way every node now inherits the falsehood automatically. A review of a book credited "with Jane Roe" writes "with Jane Roe," because the cover does; the citation carries what the title page carries. That single fact organizes the entire choice among remedies: they rank by how far the truth travels. Part VIII builds the ladder on it. And this argument, not the lemons argument, is why the ladder's top rung exists.</w:t>
      </w:r>
      <w:r>
        <w:rPr>
          <w:rFonts w:ascii="Arial" w:hAnsi="Arial"/>
          <w:vertAlign w:val="superscript"/>
        </w:rPr>
        <w:footnoteReference w:id="85"/>
      </w:r>
    </w:p>
    <w:p w14:paraId="52441AFB" w14:textId="77777777" w:rsidR="00805402" w:rsidRDefault="00000000">
      <w:pPr>
        <w:spacing w:before="200" w:after="80"/>
      </w:pPr>
      <w:r>
        <w:rPr>
          <w:rFonts w:ascii="Arial" w:hAnsi="Arial"/>
          <w:b/>
          <w:sz w:val="24"/>
        </w:rPr>
        <w:t>E. Responses</w:t>
      </w:r>
    </w:p>
    <w:p w14:paraId="19CBF191" w14:textId="77777777" w:rsidR="00805402" w:rsidRDefault="00000000">
      <w:pPr>
        <w:spacing w:after="160"/>
      </w:pPr>
      <w:r>
        <w:rPr>
          <w:rFonts w:ascii="Arial" w:hAnsi="Arial"/>
        </w:rPr>
        <w:t>One natural response to this argument is that in equilibrium, third parties will adjust their attitudes based on their expectations of ghost authorship. As ghost authorship becomes more common, third parties will rely on authorship signal less, and so will not be misled.</w:t>
      </w:r>
    </w:p>
    <w:p w14:paraId="3FFF0E1C" w14:textId="77777777" w:rsidR="00805402" w:rsidRDefault="00000000">
      <w:pPr>
        <w:spacing w:after="160"/>
      </w:pPr>
      <w:r>
        <w:rPr>
          <w:rFonts w:ascii="Arial" w:hAnsi="Arial"/>
        </w:rPr>
        <w:t>There are at least two problems for this response. First, the general public is broadly misinformed about the extent of ghost authorship. Again, this is by design: most ghost authorship is covered by NDAs.</w:t>
      </w:r>
      <w:r>
        <w:rPr>
          <w:rFonts w:ascii="Arial" w:hAnsi="Arial"/>
          <w:vertAlign w:val="superscript"/>
        </w:rPr>
        <w:footnoteReference w:id="86"/>
      </w:r>
    </w:p>
    <w:p w14:paraId="36CD181F" w14:textId="77777777" w:rsidR="00805402" w:rsidRDefault="00000000">
      <w:pPr>
        <w:spacing w:after="160"/>
      </w:pPr>
      <w:r>
        <w:rPr>
          <w:rFonts w:ascii="Arial" w:hAnsi="Arial"/>
        </w:rPr>
        <w:t>Second, imagine that the general public did downgrade their credence in expertise based on ghost authorship. This itself comes with significant social cost. In this scenario, genuine experts can no longer disseminate information effectively. Under ghost authorship, their genuine competence cannot be effectively signalled in the market. There is too much noise. At a societal level, this makes it harder for genuine quality to compete. A discounted channel carries less information for everyone, expert and naïf alike, even when every participant is perfectly rational. The sophisticated reader does not escape the injury. She pays it in information she can no longer extract from bylines.</w:t>
      </w:r>
    </w:p>
    <w:p w14:paraId="75232FD4" w14:textId="77777777" w:rsidR="00805402" w:rsidRDefault="00000000">
      <w:pPr>
        <w:spacing w:after="160"/>
      </w:pPr>
      <w:r>
        <w:rPr>
          <w:rFonts w:ascii="Arial" w:hAnsi="Arial"/>
        </w:rPr>
        <w:lastRenderedPageBreak/>
        <w:t>Another question is whether the magnitude of third party effects is small? Here, again, it is hard to gather direct evidence about the question. But, again, the overall economic value of ghost authorship is measurable. In the V.C. Andrews estate litigation, the court valued the dead author's name at $703,500. And the estate's own correspondence recorded royalties falling by roughly a third once the ghostwriting became public: a market price on the concealment itself.</w:t>
      </w:r>
      <w:r>
        <w:rPr>
          <w:rFonts w:ascii="Arial" w:hAnsi="Arial"/>
          <w:vertAlign w:val="superscript"/>
        </w:rPr>
        <w:footnoteReference w:id="87"/>
      </w:r>
      <w:r>
        <w:rPr>
          <w:rFonts w:ascii="Arial" w:hAnsi="Arial"/>
        </w:rPr>
        <w:t xml:space="preserve"> The Frey scandal produced refunds and a class-action settlement: a market price on breached authenticity.</w:t>
      </w:r>
      <w:r>
        <w:rPr>
          <w:rFonts w:ascii="Arial" w:hAnsi="Arial"/>
          <w:vertAlign w:val="superscript"/>
        </w:rPr>
        <w:footnoteReference w:id="88"/>
      </w:r>
      <w:r>
        <w:rPr>
          <w:rFonts w:ascii="Arial" w:hAnsi="Arial"/>
        </w:rPr>
        <w:t xml:space="preserve"> Professional creators discount roughly half their fee to keep credit: this is a market price on attribution.</w:t>
      </w:r>
      <w:r>
        <w:rPr>
          <w:rFonts w:ascii="Arial" w:hAnsi="Arial"/>
          <w:vertAlign w:val="superscript"/>
        </w:rPr>
        <w:footnoteReference w:id="89"/>
      </w:r>
      <w:r>
        <w:rPr>
          <w:rFonts w:ascii="Arial" w:hAnsi="Arial"/>
        </w:rPr>
        <w:t xml:space="preserve"> Buyers pay a measurable premium for the human-made label: this is a market price on provenance.</w:t>
      </w:r>
      <w:r>
        <w:rPr>
          <w:rFonts w:ascii="Arial" w:hAnsi="Arial"/>
          <w:vertAlign w:val="superscript"/>
        </w:rPr>
        <w:footnoteReference w:id="90"/>
      </w:r>
      <w:r>
        <w:rPr>
          <w:rFonts w:ascii="Arial" w:hAnsi="Arial"/>
        </w:rPr>
        <w:t xml:space="preserve"> And the parties themselves pay for NDAs: this is a market price on silence.</w:t>
      </w:r>
      <w:r>
        <w:rPr>
          <w:rFonts w:ascii="Arial" w:hAnsi="Arial"/>
          <w:vertAlign w:val="superscript"/>
        </w:rPr>
        <w:footnoteReference w:id="91"/>
      </w:r>
    </w:p>
    <w:p w14:paraId="61EEDEA9" w14:textId="77777777" w:rsidR="00805402" w:rsidRDefault="00000000">
      <w:pPr>
        <w:spacing w:after="160"/>
      </w:pPr>
      <w:r>
        <w:rPr>
          <w:rFonts w:ascii="Arial" w:hAnsi="Arial"/>
        </w:rPr>
        <w:t>Another reaction could be that this problem is self-correcting, because the press have an incentive to police ghost authorship. Unfortunately, however, after a century of ghost authorship, there is still no convention for ghost disclosure. Reviews do not flag ghosting, and no major outlet asks.</w:t>
      </w:r>
      <w:r>
        <w:rPr>
          <w:rFonts w:ascii="Arial" w:hAnsi="Arial"/>
          <w:vertAlign w:val="superscript"/>
        </w:rPr>
        <w:footnoteReference w:id="92"/>
      </w:r>
    </w:p>
    <w:p w14:paraId="23E0E2F8" w14:textId="77777777" w:rsidR="00805402" w:rsidRDefault="00000000">
      <w:pPr>
        <w:spacing w:after="160"/>
      </w:pPr>
      <w:r>
        <w:rPr>
          <w:rFonts w:ascii="Arial" w:hAnsi="Arial"/>
        </w:rPr>
        <w:t>There could be structural reasons for this gap. Informal enforcement arises where the harmed parties can monitor and sanction each other.</w:t>
      </w:r>
      <w:r>
        <w:rPr>
          <w:rFonts w:ascii="Arial" w:hAnsi="Arial"/>
          <w:vertAlign w:val="superscript"/>
        </w:rPr>
        <w:footnoteReference w:id="93"/>
      </w:r>
      <w:r>
        <w:rPr>
          <w:rFonts w:ascii="Arial" w:hAnsi="Arial"/>
        </w:rPr>
        <w:t xml:space="preserve"> This involves repeated players inside a community, with reputations at stake among themselves. Publishing's harmed parties are readers and the discourse: dispersed, anonymous, outside the walls.</w:t>
      </w:r>
    </w:p>
    <w:p w14:paraId="05701B50" w14:textId="77777777" w:rsidR="00805402" w:rsidRDefault="00000000">
      <w:pPr>
        <w:spacing w:after="160"/>
      </w:pPr>
      <w:r>
        <w:rPr>
          <w:rFonts w:ascii="Arial" w:hAnsi="Arial"/>
        </w:rPr>
        <w:t>As an example of this kind of norm, consider stand-up comedy. Stand-up comedians built a norms system that polices joke theft ferociously. The same system enforces undisclosed joke-buying. "You can't even tell anybody that you wrote the joke."</w:t>
      </w:r>
      <w:r>
        <w:rPr>
          <w:rFonts w:ascii="Arial" w:hAnsi="Arial"/>
          <w:vertAlign w:val="superscript"/>
        </w:rPr>
        <w:footnoteReference w:id="94"/>
      </w:r>
      <w:r>
        <w:rPr>
          <w:rFonts w:ascii="Arial" w:hAnsi="Arial"/>
        </w:rPr>
        <w:t xml:space="preserve"> That’s because stand-up comedy is a small community with iterated play, where the potential ghost authors are drawn from a small pool, and themselves work as stand-up comedians.</w:t>
      </w:r>
    </w:p>
    <w:p w14:paraId="38D49006" w14:textId="77777777" w:rsidR="00805402" w:rsidRDefault="00000000">
      <w:pPr>
        <w:spacing w:before="280" w:after="120"/>
      </w:pPr>
      <w:r>
        <w:rPr>
          <w:rFonts w:ascii="Arial" w:hAnsi="Arial"/>
          <w:b/>
          <w:sz w:val="26"/>
        </w:rPr>
        <w:t>VI. Objections</w:t>
      </w:r>
    </w:p>
    <w:p w14:paraId="4DA6065A" w14:textId="77777777" w:rsidR="00805402" w:rsidRDefault="00000000">
      <w:pPr>
        <w:spacing w:after="160"/>
      </w:pPr>
      <w:r>
        <w:rPr>
          <w:rFonts w:ascii="Arial" w:hAnsi="Arial"/>
        </w:rPr>
        <w:t>This part considers general objections to the arguments in this paper.</w:t>
      </w:r>
    </w:p>
    <w:p w14:paraId="754E922B" w14:textId="77777777" w:rsidR="00805402" w:rsidRDefault="00000000">
      <w:pPr>
        <w:spacing w:before="200" w:after="80"/>
      </w:pPr>
      <w:r>
        <w:rPr>
          <w:rFonts w:ascii="Arial" w:hAnsi="Arial"/>
          <w:b/>
          <w:sz w:val="24"/>
        </w:rPr>
        <w:lastRenderedPageBreak/>
        <w:t>A. Consent</w:t>
      </w:r>
    </w:p>
    <w:p w14:paraId="624A75E7" w14:textId="77777777" w:rsidR="00805402" w:rsidRDefault="00000000">
      <w:pPr>
        <w:spacing w:after="160"/>
      </w:pPr>
      <w:r>
        <w:rPr>
          <w:rFonts w:ascii="Arial" w:hAnsi="Arial"/>
        </w:rPr>
        <w:t>The first objection is that ghost authors and their clients are consenting adults. The ghost is paid what credit was worth to her; the buyer gets the book he wanted; the publisher clears its margin; nobody in the deal complains, because nobody in the deal has anything to complain about.</w:t>
      </w:r>
    </w:p>
    <w:p w14:paraId="5D9A098A" w14:textId="77777777" w:rsidR="00805402" w:rsidRDefault="00000000">
      <w:pPr>
        <w:spacing w:after="160"/>
      </w:pPr>
      <w:r>
        <w:rPr>
          <w:rFonts w:ascii="Arial" w:hAnsi="Arial"/>
        </w:rPr>
        <w:t>In the legal literature, this objection has been developed in Goldschmidt's defense of undisclosed attorney ghostwriting, briefs drafted by lawyers for pro se litigants who file them as their own. Goldschmidt surveyed the practice and found courts divided over whether it must be disclosed. His defense runs on consent and context. The litigant wants the help; the lawyer is paid for it; and the practice widens access to justice for parties who could not afford full representation. On his analysis, no one with a stake in the transaction is worse off, so the rules should tolerate the arrangement. He finds no cognizable harm and real benefits for access to justice, and he presses the question: where, exactly, is the victim?</w:t>
      </w:r>
      <w:r>
        <w:rPr>
          <w:rFonts w:ascii="Arial" w:hAnsi="Arial"/>
          <w:vertAlign w:val="superscript"/>
        </w:rPr>
        <w:footnoteReference w:id="95"/>
      </w:r>
    </w:p>
    <w:p w14:paraId="796CDF2D" w14:textId="77777777" w:rsidR="00805402" w:rsidRDefault="00000000">
      <w:pPr>
        <w:spacing w:after="160"/>
      </w:pPr>
      <w:r>
        <w:rPr>
          <w:rFonts w:ascii="Arial" w:hAnsi="Arial"/>
        </w:rPr>
        <w:t>Another form of this objection comes, in a general way, from the economist Ronald Coase.</w:t>
      </w:r>
      <w:r>
        <w:rPr>
          <w:rFonts w:ascii="Arial" w:hAnsi="Arial"/>
          <w:vertAlign w:val="superscript"/>
        </w:rPr>
        <w:footnoteReference w:id="96"/>
      </w:r>
      <w:r>
        <w:rPr>
          <w:rFonts w:ascii="Arial" w:hAnsi="Arial"/>
        </w:rPr>
        <w:t xml:space="preserve"> Coase's famous idea is that when bargaining is cheap, the affected parties will trade their way to the efficient outcome no matter where the law puts the initial rights. If ghost authorship were inefficient, the affected parties would bargain it away: whoever values truthful attribution more than the parties value concealment would pay for it (readers through higher prices for verified books, writers through discounts for credit), and the practice would shrink to its efficient scale. On this view a century of persistence is a century of revealed efficiency.</w:t>
      </w:r>
    </w:p>
    <w:p w14:paraId="60BABEB3" w14:textId="77777777" w:rsidR="00805402" w:rsidRDefault="00000000">
      <w:pPr>
        <w:spacing w:after="160"/>
      </w:pPr>
      <w:r>
        <w:rPr>
          <w:rFonts w:ascii="Arial" w:hAnsi="Arial"/>
        </w:rPr>
        <w:t>The response: the deal is efficient for its parties, and the objection's mistake is to stop counting there. All three injuries sit outside the deal, and each blocks bargaining in its own way. Start with buyers. A buyer cannot pay for information she does not know is missing: the Coasean purchase of disclosure requires knowing there is something to purchase, and concealment removes exactly that knowledge. Worse, the parties who control the disclosure margin, publishers and named authors, profit from the silence, so the side with the information has already been paid, by the deal itself, not to sell it.</w:t>
      </w:r>
      <w:r>
        <w:rPr>
          <w:rFonts w:ascii="Arial" w:hAnsi="Arial"/>
          <w:vertAlign w:val="superscript"/>
        </w:rPr>
        <w:footnoteReference w:id="97"/>
      </w:r>
    </w:p>
    <w:p w14:paraId="7732D4E1" w14:textId="77777777" w:rsidR="00805402" w:rsidRDefault="00000000">
      <w:pPr>
        <w:spacing w:after="160"/>
      </w:pPr>
      <w:r>
        <w:rPr>
          <w:rFonts w:ascii="Arial" w:hAnsi="Arial"/>
        </w:rPr>
        <w:t>Future writers and their future audiences cannot bargain because their market is missing: the beneficiaries of the ghost's unbuilt track record (the editors who would have found her, the readers who would have followed her) are unidentifiable at contract time.</w:t>
      </w:r>
      <w:r>
        <w:rPr>
          <w:rFonts w:ascii="Arial" w:hAnsi="Arial"/>
          <w:vertAlign w:val="superscript"/>
        </w:rPr>
        <w:footnoteReference w:id="98"/>
      </w:r>
      <w:r>
        <w:rPr>
          <w:rFonts w:ascii="Arial" w:hAnsi="Arial"/>
        </w:rPr>
        <w:t xml:space="preserve"> And bystanders cannot bargain because they are millions of non-purchasers, each bearing a sliver of the discourse injury too small to organize around; the transaction costs of assembling the public into a counterparty exceed any individual stake by orders of magnitude.</w:t>
      </w:r>
      <w:r>
        <w:rPr>
          <w:rFonts w:ascii="Arial" w:hAnsi="Arial"/>
          <w:vertAlign w:val="superscript"/>
        </w:rPr>
        <w:footnoteReference w:id="99"/>
      </w:r>
    </w:p>
    <w:p w14:paraId="741DC59A" w14:textId="77777777" w:rsidR="00805402" w:rsidRDefault="00000000">
      <w:pPr>
        <w:spacing w:after="160"/>
      </w:pPr>
      <w:r>
        <w:rPr>
          <w:rFonts w:ascii="Arial" w:hAnsi="Arial"/>
        </w:rPr>
        <w:lastRenderedPageBreak/>
        <w:t>Again, Goldschmidt offered a defense of ghostwriting along the lines of this objection. Undisclosed attorney ghostwriting is harmless, he claims, because it involves calibrated expectations (judges know pro se briefs may be lawyer-drafted), cheap detection (the polish is visible on the face of the filing), independent accountability for the content (the filed document is tested in an adversarial proceeding), and no market in bylines (no one pays to be named as a brief's author).</w:t>
      </w:r>
      <w:r>
        <w:rPr>
          <w:rFonts w:ascii="Arial" w:hAnsi="Arial"/>
          <w:vertAlign w:val="superscript"/>
        </w:rPr>
        <w:footnoteReference w:id="100"/>
      </w:r>
      <w:r>
        <w:rPr>
          <w:rFonts w:ascii="Arial" w:hAnsi="Arial"/>
        </w:rPr>
        <w:t xml:space="preserve"> Exactly so. Where those conditions hold, the three arguments in this paper don’t apply.</w:t>
      </w:r>
      <w:r>
        <w:rPr>
          <w:rFonts w:ascii="Arial" w:hAnsi="Arial"/>
          <w:vertAlign w:val="superscript"/>
        </w:rPr>
        <w:footnoteReference w:id="101"/>
      </w:r>
    </w:p>
    <w:p w14:paraId="3532AD8A" w14:textId="77777777" w:rsidR="00805402" w:rsidRDefault="00000000">
      <w:pPr>
        <w:spacing w:before="200" w:after="80"/>
      </w:pPr>
      <w:r>
        <w:rPr>
          <w:rFonts w:ascii="Arial" w:hAnsi="Arial"/>
          <w:b/>
          <w:sz w:val="24"/>
        </w:rPr>
        <w:t>B. The Faithful-Articulation Objection</w:t>
      </w:r>
    </w:p>
    <w:p w14:paraId="74386610" w14:textId="77777777" w:rsidR="00805402" w:rsidRDefault="00000000">
      <w:pPr>
        <w:spacing w:after="160"/>
      </w:pPr>
      <w:r>
        <w:rPr>
          <w:rFonts w:ascii="Arial" w:hAnsi="Arial"/>
        </w:rPr>
        <w:t>Another objection says that ghost authorship doesn't weaken the authorship signal, because the titled author actually did contribute the most important parts of the book. In the modal ghost contract, including in the expertise core, the CEO sits for forty hours of interviews, supplies the war stories, reviews every chapter, and adopts the text; Prince Harry supplies his life and grievances; the physician supplies the clinical judgment and signs off on the claims. If the byline claims, as the market arguably reads it, "this book presents the named person's story and judgment, prepared under their direction and adopted by them," then the reader gets what the signal promised, the testimony is genuine.</w:t>
      </w:r>
    </w:p>
    <w:p w14:paraId="32B07956" w14:textId="77777777" w:rsidR="00805402" w:rsidRDefault="00000000">
      <w:pPr>
        <w:spacing w:after="160"/>
      </w:pPr>
      <w:r>
        <w:rPr>
          <w:rFonts w:ascii="Arial" w:hAnsi="Arial"/>
        </w:rPr>
        <w:t>Again, the response to this objection is that the market has already priced the value of weakening the authorship signal. Ghosts are paid less when given a writing credit, and experts who purchase ghost author services systematically avoid giving naming rights to their ghosts.</w:t>
      </w:r>
      <w:r>
        <w:rPr>
          <w:rFonts w:ascii="Arial" w:hAnsi="Arial"/>
          <w:vertAlign w:val="superscript"/>
        </w:rPr>
        <w:footnoteReference w:id="102"/>
      </w:r>
      <w:r>
        <w:rPr>
          <w:rFonts w:ascii="Arial" w:hAnsi="Arial"/>
        </w:rPr>
        <w:t xml:space="preserve"> Sellers pay for the stronger claim because readers read it as the stronger claim.</w:t>
      </w:r>
    </w:p>
    <w:p w14:paraId="372BA5F2" w14:textId="77777777" w:rsidR="00805402" w:rsidRDefault="00000000">
      <w:pPr>
        <w:spacing w:after="160"/>
      </w:pPr>
      <w:r>
        <w:rPr>
          <w:rFonts w:ascii="Arial" w:hAnsi="Arial"/>
        </w:rPr>
        <w:t>The other problem is that in many cases, ghosts supply far more than writing support. Ghosts routinely supply structure, argument, and research (in the medical cases, the manuscripts were complete before the "authors" were recruited), while nondisclosure agreements conceal exactly the division of labor that would let readers tell the adopted-judgment cases from the rented-name cases.</w:t>
      </w:r>
      <w:r>
        <w:rPr>
          <w:rFonts w:ascii="Arial" w:hAnsi="Arial"/>
          <w:vertAlign w:val="superscript"/>
        </w:rPr>
        <w:footnoteReference w:id="103"/>
      </w:r>
    </w:p>
    <w:p w14:paraId="2089F641" w14:textId="77777777" w:rsidR="00805402" w:rsidRDefault="00000000">
      <w:pPr>
        <w:spacing w:after="160"/>
      </w:pPr>
      <w:r>
        <w:rPr>
          <w:rFonts w:ascii="Arial" w:hAnsi="Arial"/>
        </w:rPr>
        <w:t>Still, the general point here is important. The solutions suggested later in this Article impose a substantial-contribution test, asking whether the named author genuinely supplied substance and direction. Courts already administer this line. The joint-authorship cases ask who exercised control and contributed authorship rather than ideas or supervision, and they deny author status to commissioning parties who supplied direction without expression while granting it to principals who genuinely shaped the text.</w:t>
      </w:r>
      <w:r>
        <w:rPr>
          <w:rFonts w:ascii="Arial" w:hAnsi="Arial"/>
          <w:vertAlign w:val="superscript"/>
        </w:rPr>
        <w:footnoteReference w:id="104"/>
      </w:r>
      <w:r>
        <w:rPr>
          <w:rFonts w:ascii="Arial" w:hAnsi="Arial"/>
          <w:vertAlign w:val="superscript"/>
        </w:rPr>
        <w:footnoteReference w:id="105"/>
      </w:r>
    </w:p>
    <w:p w14:paraId="67B8DE13" w14:textId="77777777" w:rsidR="00805402" w:rsidRDefault="00000000">
      <w:pPr>
        <w:spacing w:before="200" w:after="80"/>
      </w:pPr>
      <w:r>
        <w:rPr>
          <w:rFonts w:ascii="Arial" w:hAnsi="Arial"/>
          <w:b/>
          <w:sz w:val="24"/>
        </w:rPr>
        <w:t>C. "The Named Author's Reputation Is on the Line"</w:t>
      </w:r>
    </w:p>
    <w:p w14:paraId="3A2C5D2A" w14:textId="77777777" w:rsidR="00805402" w:rsidRDefault="00000000">
      <w:pPr>
        <w:spacing w:after="160"/>
      </w:pPr>
      <w:r>
        <w:rPr>
          <w:rFonts w:ascii="Arial" w:hAnsi="Arial"/>
        </w:rPr>
        <w:lastRenderedPageBreak/>
        <w:t>The strongest economic defense of ghost authorship appeals again to reputation. In standard models of reputation, quality is disciplined by the seller with a name to lose. Firms sell under trade names that outlive any employee; restaurants keep their stars through kitchen turnover; and economics does not generally condemn markets in which reputations trade, because the name's owner is the residual claimant on its value and polices quality accordingly.</w:t>
      </w:r>
      <w:r>
        <w:rPr>
          <w:rFonts w:ascii="Arial" w:hAnsi="Arial"/>
          <w:vertAlign w:val="superscript"/>
        </w:rPr>
        <w:footnoteReference w:id="106"/>
      </w:r>
      <w:r>
        <w:rPr>
          <w:rFonts w:ascii="Arial" w:hAnsi="Arial"/>
        </w:rPr>
        <w:t xml:space="preserve"> This suggests that the ghost deal changes little. The named author's name is on the cover; he has every incentive to buy good writing, police the claims, and adopt only what he can stand behind.</w:t>
      </w:r>
    </w:p>
    <w:p w14:paraId="52FEDB10" w14:textId="77777777" w:rsidR="00805402" w:rsidRDefault="00000000">
      <w:pPr>
        <w:spacing w:after="160"/>
      </w:pPr>
      <w:r>
        <w:rPr>
          <w:rFonts w:ascii="Arial" w:hAnsi="Arial"/>
        </w:rPr>
        <w:t>This defense is relevant to some dynamics, but doesn't apply to all of the effects on authorship signal. One problem, for example, is that often, CEOs simply don't have especially good ideas, and can't write very well. They purchase a ghost author to signal that they have these capabilities, and this has all sorts of third party effects. Granted, the reputational effects mean that the CEOs have an incentive to have these capabilities; but the incentive doesn't make it so. Similarly, this defense has little effect on the supply-side effects. Rather, the defense is most relevant to the market for lemons, if the defense could imply that ghostwritten books really were just as good as the real thing. Here, one problem is that one aspect of quality that buyers want is authenticity: they want to reach inside the General's mind, to hear his war stories in his own voice.</w:t>
      </w:r>
      <w:r>
        <w:rPr>
          <w:rFonts w:ascii="Arial" w:hAnsi="Arial"/>
          <w:vertAlign w:val="superscript"/>
        </w:rPr>
        <w:footnoteReference w:id="107"/>
      </w:r>
    </w:p>
    <w:p w14:paraId="1626E79B" w14:textId="77777777" w:rsidR="00805402" w:rsidRDefault="00000000">
      <w:pPr>
        <w:spacing w:before="200" w:after="80"/>
      </w:pPr>
      <w:r>
        <w:rPr>
          <w:rFonts w:ascii="Arial" w:hAnsi="Arial"/>
          <w:b/>
          <w:sz w:val="24"/>
        </w:rPr>
        <w:t>D. "This Is Trademark, Not Authorship"</w:t>
      </w:r>
    </w:p>
    <w:p w14:paraId="6D8FE346" w14:textId="77777777" w:rsidR="00805402" w:rsidRDefault="00000000">
      <w:pPr>
        <w:spacing w:after="160"/>
      </w:pPr>
      <w:r>
        <w:rPr>
          <w:rFonts w:ascii="Arial" w:hAnsi="Arial"/>
        </w:rPr>
        <w:t>According to this objection, author names are "authornyms," brands readers use for sorting, not statements of fact. Betty Crocker never existed, and nobody was defrauded, because a brand's job is to promise a consistent product, not to describe a person. Brands are licensed, assigned, and staffed by strangers all the time, and commerce is better for it. On this view the V.C. Andrews arrangement (the estate that kept publishing new novels under a dead author's name, described in Part II) is just brand licensing, the CEO byline is just corporate branding with a face, and this Article has mistaken ordinary trademark economics for a pathology.</w:t>
      </w:r>
      <w:r>
        <w:rPr>
          <w:rFonts w:ascii="Arial" w:hAnsi="Arial"/>
          <w:vertAlign w:val="superscript"/>
        </w:rPr>
        <w:footnoteReference w:id="108"/>
      </w:r>
    </w:p>
    <w:p w14:paraId="440ED696" w14:textId="77777777" w:rsidR="00805402" w:rsidRDefault="00000000">
      <w:pPr>
        <w:spacing w:after="160"/>
      </w:pPr>
      <w:r>
        <w:rPr>
          <w:rFonts w:ascii="Arial" w:hAnsi="Arial"/>
        </w:rPr>
        <w:t>One problem with this objection is that trademark law itself would block ghost authorship, if interpreted as a brand. Trademark law conditions licensing on quality control. A trademark licensed without supervision is abandoned (the naked licensing doctrine), because the law assumes that unpoliced name-licensing destroys the signal the mark exists to carry.</w:t>
      </w:r>
      <w:r>
        <w:rPr>
          <w:rFonts w:ascii="Arial" w:hAnsi="Arial"/>
          <w:vertAlign w:val="superscript"/>
        </w:rPr>
        <w:footnoteReference w:id="109"/>
      </w:r>
      <w:r>
        <w:rPr>
          <w:rFonts w:ascii="Arial" w:hAnsi="Arial"/>
        </w:rPr>
        <w:t xml:space="preserve"> Byline licensing carries no quality-control duty and no abandonment sanction: the celebrity who rents his name to a manuscript he barely read faces no doctrine at all. The brand defense thus claims trademark's benefits while escaping trademark's obligations.</w:t>
      </w:r>
    </w:p>
    <w:p w14:paraId="084B1063" w14:textId="77777777" w:rsidR="00805402" w:rsidRDefault="00000000">
      <w:pPr>
        <w:spacing w:before="280" w:after="120"/>
      </w:pPr>
      <w:r>
        <w:rPr>
          <w:rFonts w:ascii="Arial" w:hAnsi="Arial"/>
          <w:b/>
          <w:sz w:val="26"/>
        </w:rPr>
        <w:t>VII. Ghost Authorship in Positive Law</w:t>
      </w:r>
    </w:p>
    <w:p w14:paraId="42C05BEA" w14:textId="77777777" w:rsidR="00805402" w:rsidRDefault="00000000">
      <w:pPr>
        <w:spacing w:after="160"/>
      </w:pPr>
      <w:r>
        <w:rPr>
          <w:rFonts w:ascii="Arial" w:hAnsi="Arial"/>
        </w:rPr>
        <w:lastRenderedPageBreak/>
        <w:t xml:space="preserve">This Part makes three claims. First, current law does not prohibit ghost authorship: after the Supreme Court's decision in </w:t>
      </w:r>
      <w:r>
        <w:rPr>
          <w:rFonts w:ascii="Arial" w:hAnsi="Arial"/>
          <w:i/>
        </w:rPr>
        <w:t>Dastar</w:t>
      </w:r>
      <w:r>
        <w:rPr>
          <w:rFonts w:ascii="Arial" w:hAnsi="Arial"/>
        </w:rPr>
        <w:t>, no federal unfair-competition theory reaches a purchased byline. Second, the gap is not an accident that better private rights could fix. The problem is that current solutions require a specific victim of the transaction, whereas the actual harms from ghost authorship are diffuse. Third, the one court that refused to enforce a ghost deal named the correct principle: the injured party is the public, not the parties. That principle points toward public enforcement, which Part VIII develops.</w:t>
      </w:r>
    </w:p>
    <w:p w14:paraId="6892F174" w14:textId="77777777" w:rsidR="00805402" w:rsidRDefault="00000000">
      <w:pPr>
        <w:spacing w:before="200" w:after="80"/>
      </w:pPr>
      <w:r>
        <w:rPr>
          <w:rFonts w:ascii="Arial" w:hAnsi="Arial"/>
          <w:b/>
          <w:sz w:val="24"/>
        </w:rPr>
        <w:t>A. The Doctrine</w:t>
      </w:r>
    </w:p>
    <w:p w14:paraId="6845D9FC" w14:textId="77777777" w:rsidR="00805402" w:rsidRDefault="00000000">
      <w:pPr>
        <w:spacing w:after="160"/>
      </w:pPr>
      <w:r>
        <w:rPr>
          <w:rFonts w:ascii="Arial" w:hAnsi="Arial"/>
        </w:rPr>
        <w:t>Before 2003, a false claim of authorship could sometimes be attacked as "reverse passing off" under section 43(a) of the Lanham Act. The coverage was a patchwork. The United States pointed to it to claim compliance with the Berne Convention's attribution right, while never enacting such a right directly.</w:t>
      </w:r>
      <w:r>
        <w:rPr>
          <w:rFonts w:ascii="Arial" w:hAnsi="Arial"/>
          <w:vertAlign w:val="superscript"/>
        </w:rPr>
        <w:footnoteReference w:id="110"/>
      </w:r>
      <w:r>
        <w:rPr>
          <w:rFonts w:ascii="Arial" w:hAnsi="Arial"/>
        </w:rPr>
        <w:t xml:space="preserve"> Even at its peak, the patchwork had a relevant structural limit: every successful route required an unwilling victim. The director whose film was mutilated could sue. The actor whose credit was stripped could sue. A ghost cannot, because the ghost agreed. So the doctrine never targeted the byline market, even while the doctrine existed.</w:t>
      </w:r>
    </w:p>
    <w:p w14:paraId="5AC8997F" w14:textId="77777777" w:rsidR="00805402" w:rsidRDefault="00000000">
      <w:pPr>
        <w:spacing w:after="160"/>
      </w:pPr>
      <w:r>
        <w:rPr>
          <w:rFonts w:ascii="Arial" w:hAnsi="Arial"/>
        </w:rPr>
        <w:t xml:space="preserve">In 2003, </w:t>
      </w:r>
      <w:r>
        <w:rPr>
          <w:rFonts w:ascii="Arial" w:hAnsi="Arial"/>
          <w:i/>
        </w:rPr>
        <w:t>Dastar</w:t>
      </w:r>
      <w:r>
        <w:rPr>
          <w:rFonts w:ascii="Arial" w:hAnsi="Arial"/>
        </w:rPr>
        <w:t xml:space="preserve"> closed even that route. The Court held that "origin of goods" in the Lanham Act means the producer of the physical product, not "the author of any idea, concept, or communication embodied in those goods." In the same opinion, the Court conceded that buyers of communicative works care "primarily" about the creator. So the Court saw that the signal matters to buyers, held that the statute does not protect it, and left the field to Congress, which has not entered it. Lower courts have since extended </w:t>
      </w:r>
      <w:r>
        <w:rPr>
          <w:rFonts w:ascii="Arial" w:hAnsi="Arial"/>
          <w:i/>
        </w:rPr>
        <w:t>Dastar</w:t>
      </w:r>
      <w:r>
        <w:rPr>
          <w:rFonts w:ascii="Arial" w:hAnsi="Arial"/>
        </w:rPr>
        <w:t xml:space="preserve"> well beyond its facts, to ordinary claims of false authorship credit.</w:t>
      </w:r>
      <w:r>
        <w:rPr>
          <w:rFonts w:ascii="Arial" w:hAnsi="Arial"/>
          <w:vertAlign w:val="superscript"/>
        </w:rPr>
        <w:footnoteReference w:id="111"/>
      </w:r>
      <w:r>
        <w:rPr>
          <w:rFonts w:ascii="Arial" w:hAnsi="Arial"/>
        </w:rPr>
        <w:t xml:space="preserve"> After </w:t>
      </w:r>
      <w:r>
        <w:rPr>
          <w:rFonts w:ascii="Arial" w:hAnsi="Arial"/>
          <w:i/>
        </w:rPr>
        <w:t>Dastar</w:t>
      </w:r>
      <w:r>
        <w:rPr>
          <w:rFonts w:ascii="Arial" w:hAnsi="Arial"/>
        </w:rPr>
        <w:t>, no federal unfair-competition theory reaches a purchased byline.</w:t>
      </w:r>
    </w:p>
    <w:p w14:paraId="5CB58E21" w14:textId="77777777" w:rsidR="00805402" w:rsidRDefault="00000000">
      <w:pPr>
        <w:spacing w:after="160"/>
      </w:pPr>
      <w:r>
        <w:rPr>
          <w:rFonts w:ascii="Arial" w:hAnsi="Arial"/>
        </w:rPr>
        <w:t xml:space="preserve">What survives is a set of narrow tools, none of which fits the problem of authorship signal dilution. False-advertising claims under section 43(a)(1)(B) survive, but they are limited to "commercial advertising or promotion," and to plaintiffs with a commercial stake: since </w:t>
      </w:r>
      <w:r>
        <w:rPr>
          <w:rFonts w:ascii="Arial" w:hAnsi="Arial"/>
          <w:i/>
        </w:rPr>
        <w:t>Lexmark</w:t>
      </w:r>
      <w:r>
        <w:rPr>
          <w:rFonts w:ascii="Arial" w:hAnsi="Arial"/>
        </w:rPr>
        <w:t xml:space="preserve">, standing runs on a commercial zone-of-interests test, which readers never satisfy. State unfair-competition and consumer-protection law survives, and it has even paid readers once: when James Frey's fabrications surfaced, a class settlement refunded book buyers. But those statutes fire only when the deception surfaces, and ghost deals are built so that it never does; the Frey plaintiffs had a scandal to point to, and the readers of a well-run ghost deal never learn they </w:t>
      </w:r>
      <w:r>
        <w:rPr>
          <w:rFonts w:ascii="Arial" w:hAnsi="Arial"/>
        </w:rPr>
        <w:lastRenderedPageBreak/>
        <w:t>were deceived.</w:t>
      </w:r>
      <w:r>
        <w:rPr>
          <w:rFonts w:ascii="Arial" w:hAnsi="Arial"/>
          <w:vertAlign w:val="superscript"/>
        </w:rPr>
        <w:footnoteReference w:id="112"/>
      </w:r>
      <w:r>
        <w:rPr>
          <w:rFonts w:ascii="Arial" w:hAnsi="Arial"/>
        </w:rPr>
        <w:t xml:space="preserve"> Contract law survives, but a contract binds only its parties.</w:t>
      </w:r>
      <w:r>
        <w:rPr>
          <w:rFonts w:ascii="Arial" w:hAnsi="Arial"/>
          <w:vertAlign w:val="superscript"/>
        </w:rPr>
        <w:footnoteReference w:id="113"/>
      </w:r>
      <w:r>
        <w:rPr>
          <w:rFonts w:ascii="Arial" w:hAnsi="Arial"/>
        </w:rPr>
        <w:t xml:space="preserve"> The DMCA protects "copyright management information," and a false byline is literally false CMI. But the provision's falsity offense requires an intent to induce, enable, facilitate, or conceal infringement, and a consensual ghost deal, which conveys every exploitation right, supplies no infringement for the false credit to serve.</w:t>
      </w:r>
      <w:r>
        <w:rPr>
          <w:rFonts w:ascii="Arial" w:hAnsi="Arial"/>
          <w:vertAlign w:val="superscript"/>
        </w:rPr>
        <w:footnoteReference w:id="114"/>
      </w:r>
      <w:r>
        <w:rPr>
          <w:rFonts w:ascii="Arial" w:hAnsi="Arial"/>
        </w:rPr>
        <w:t xml:space="preserve"> And VARA, the one attribution right Congress has enacted, covers works of visual art only: a category with no byline market to disturb.</w:t>
      </w:r>
      <w:r>
        <w:rPr>
          <w:rFonts w:ascii="Arial" w:hAnsi="Arial"/>
          <w:vertAlign w:val="superscript"/>
        </w:rPr>
        <w:footnoteReference w:id="115"/>
      </w:r>
      <w:r>
        <w:rPr>
          <w:rFonts w:ascii="Arial" w:hAnsi="Arial"/>
          <w:vertAlign w:val="superscript"/>
        </w:rPr>
        <w:footnoteReference w:id="116"/>
      </w:r>
    </w:p>
    <w:p w14:paraId="3C1A5E88" w14:textId="77777777" w:rsidR="00805402" w:rsidRDefault="00000000">
      <w:pPr>
        <w:spacing w:before="200" w:after="80"/>
      </w:pPr>
      <w:r>
        <w:rPr>
          <w:rFonts w:ascii="Arial" w:hAnsi="Arial"/>
          <w:b/>
          <w:sz w:val="24"/>
        </w:rPr>
        <w:t>B. Why Every Remedy Fails</w:t>
      </w:r>
    </w:p>
    <w:p w14:paraId="5AA95960" w14:textId="77777777" w:rsidR="00805402" w:rsidRDefault="00000000">
      <w:pPr>
        <w:spacing w:after="160"/>
      </w:pPr>
      <w:r>
        <w:rPr>
          <w:rFonts w:ascii="Arial" w:hAnsi="Arial"/>
        </w:rPr>
        <w:t>The fixes proposed in the scholarship share the doctrine's defect. Ginsburg proposes an attribution right for authors. But Ginsburg makes this right waivable, and names ghost agreements as the model of legitimate waiver. Hughes proposes a new attribution section for the Copyright Act, and leaves the waiver question open. Lastowka proposes amending the Lanham Act, and concedes that his amendment has no plaintiff. LaFrance would police false attribution, but not silence the parties consented to. Tushnet would leave the field to informal norms. But Part V showed what publishing's norms actually enforce: they protect the secrecy of ghost deals rather than exposing them. Fisk's proposal reaches employment contracts only, and she herself rejects broader regulation. Each proposal, on inspection, preserves the same gap: each can be waived, sold, or side-stepped by the parties to the ghost contract, so none protects the people outside it.</w:t>
      </w:r>
      <w:r>
        <w:rPr>
          <w:rFonts w:ascii="Arial" w:hAnsi="Arial"/>
          <w:vertAlign w:val="superscript"/>
        </w:rPr>
        <w:footnoteReference w:id="117"/>
      </w:r>
    </w:p>
    <w:p w14:paraId="2DD6AD24" w14:textId="77777777" w:rsidR="00805402" w:rsidRDefault="00000000">
      <w:pPr>
        <w:spacing w:after="160"/>
      </w:pPr>
      <w:r>
        <w:rPr>
          <w:rFonts w:ascii="Arial" w:hAnsi="Arial"/>
        </w:rPr>
        <w:t>Here is the general point. Every surviving doctrine and every proposed fix requires an aggrieved insider: an author who objects, a competitor who sues, a warranty that was breached. The ghost contract produces none of these. The ghost waives; the buyer pays; the publisher profits; no warranty is ever given. The parties who are injured (readers, the writing labor market, the public discourse) hold neither a right nor standing. Consent creates the gap. And no right held by the insiders can fill it, because the insiders will sell the right. That is why the remedy, discussed in the next Part, must be public.</w:t>
      </w:r>
      <w:r>
        <w:rPr>
          <w:rFonts w:ascii="Arial" w:hAnsi="Arial"/>
          <w:vertAlign w:val="superscript"/>
        </w:rPr>
        <w:footnoteReference w:id="118"/>
      </w:r>
    </w:p>
    <w:p w14:paraId="1FBCFBD2" w14:textId="77777777" w:rsidR="00805402" w:rsidRDefault="00000000">
      <w:pPr>
        <w:spacing w:before="200" w:after="80"/>
      </w:pPr>
      <w:r>
        <w:rPr>
          <w:rFonts w:ascii="Arial" w:hAnsi="Arial"/>
          <w:b/>
          <w:sz w:val="24"/>
        </w:rPr>
        <w:t>C. The 1951 Exception</w:t>
      </w:r>
    </w:p>
    <w:p w14:paraId="3015748B" w14:textId="77777777" w:rsidR="00805402" w:rsidRDefault="00000000">
      <w:pPr>
        <w:spacing w:after="160"/>
      </w:pPr>
      <w:r>
        <w:rPr>
          <w:rFonts w:ascii="Arial" w:hAnsi="Arial"/>
        </w:rPr>
        <w:t xml:space="preserve">One court refused to go along. In 1951, Milton Berle commissioned a novel from a professional writer, to be published and advertised as Berle's own work. Berle then refused to let the book be published, and the writer sued for her share of the profits. The New York Supreme Court </w:t>
      </w:r>
      <w:r>
        <w:rPr>
          <w:rFonts w:ascii="Arial" w:hAnsi="Arial"/>
        </w:rPr>
        <w:lastRenderedPageBreak/>
        <w:t xml:space="preserve">refused to enforce the contract, calling it "a fraud and deception upon the public." The case is </w:t>
      </w:r>
      <w:r>
        <w:rPr>
          <w:rFonts w:ascii="Arial" w:hAnsi="Arial"/>
          <w:i/>
        </w:rPr>
        <w:t>Roddy-Eden v. Berle</w:t>
      </w:r>
      <w:r>
        <w:rPr>
          <w:rFonts w:ascii="Arial" w:hAnsi="Arial"/>
        </w:rPr>
        <w:t>.</w:t>
      </w:r>
      <w:r>
        <w:rPr>
          <w:rFonts w:ascii="Arial" w:hAnsi="Arial"/>
          <w:vertAlign w:val="superscript"/>
        </w:rPr>
        <w:footnoteReference w:id="119"/>
      </w:r>
      <w:r>
        <w:rPr>
          <w:rFonts w:ascii="Arial" w:hAnsi="Arial"/>
        </w:rPr>
        <w:t xml:space="preserve"> It stated the principle this Article has been arguing from: "Public policy is the interest of others than the parties directly concerned in the contract." The same opinion drew the pen-name line, distinguishing the pseudonymous writer, who "is, in truth, the real author," from the writer who palms off another's authorship as his own.</w:t>
      </w:r>
    </w:p>
    <w:p w14:paraId="4224B663" w14:textId="77777777" w:rsidR="00805402" w:rsidRDefault="00000000">
      <w:pPr>
        <w:spacing w:after="160"/>
      </w:pPr>
      <w:r>
        <w:rPr>
          <w:rFonts w:ascii="Arial" w:hAnsi="Arial"/>
          <w:i/>
        </w:rPr>
        <w:t>Roddy-Eden</w:t>
      </w:r>
      <w:r>
        <w:rPr>
          <w:rFonts w:ascii="Arial" w:hAnsi="Arial"/>
        </w:rPr>
        <w:t xml:space="preserve"> might look like the counterexample: there, at least, a court acted. Its history shows why the exception changed nothing. The decision came from a trial court, it rested on an alternative holding, and it produced no successors. Modern ghost agreements are structured as writing services plus an assignment of rights, an arrangement consistent with staying out of the case's shadow, though no published account credits the case with that influence. More important, the structural point does not depend on the history. A rule that operates only when a ghost sues a celebrity will almost never operate, because ghosts who sue celebrities do not work again. Private enforcement of the public's interest fails here for the usual reason: the insiders settle, and the outsiders never had a claim. Public enforcement is the missing piece, and Part VIII supplies it.</w:t>
      </w:r>
    </w:p>
    <w:p w14:paraId="1575CF28" w14:textId="77777777" w:rsidR="00805402" w:rsidRDefault="00000000">
      <w:pPr>
        <w:spacing w:before="200" w:after="80"/>
      </w:pPr>
      <w:r>
        <w:rPr>
          <w:rFonts w:ascii="Arial" w:hAnsi="Arial"/>
          <w:b/>
          <w:sz w:val="24"/>
        </w:rPr>
        <w:t>D. Work-for-Hire</w:t>
      </w:r>
    </w:p>
    <w:p w14:paraId="6398E72E" w14:textId="77777777" w:rsidR="00805402" w:rsidRDefault="00000000">
      <w:pPr>
        <w:spacing w:after="160"/>
      </w:pPr>
      <w:r>
        <w:rPr>
          <w:rFonts w:ascii="Arial" w:hAnsi="Arial"/>
        </w:rPr>
        <w:t>The byline market is organized by the doctrine of work for hire. The doctrine grew out of employment. In the newsroom, the encyclopedia, and the collective work, the firm coordinates many hands, the output is the firm's product in every commercial sense, and no reader treats the byline as one person's testimony. (Consider how The Economist still has no bylines today.)</w:t>
      </w:r>
      <w:r>
        <w:rPr>
          <w:rFonts w:ascii="Arial" w:hAnsi="Arial"/>
          <w:vertAlign w:val="superscript"/>
        </w:rPr>
        <w:footnoteReference w:id="120"/>
      </w:r>
      <w:r>
        <w:rPr>
          <w:rFonts w:ascii="Arial" w:hAnsi="Arial"/>
        </w:rPr>
        <w:t xml:space="preserve"> For commissioned works, section 201(b) goes further where it applies: it vests authorship in the buyer from the start, at the moment the words are fixed. Its reach is narrower than the trade assumes, because a standalone book fits none of the statute's nine commissioned-work categories; that is why real ghost deals run on assignment, with a work-for-hire clause included in case it sticks. Courts already strain to locate authorship in non-writers even inside the doctrine's home territory.</w:t>
      </w:r>
      <w:r>
        <w:rPr>
          <w:rFonts w:ascii="Arial" w:hAnsi="Arial"/>
          <w:vertAlign w:val="superscript"/>
        </w:rPr>
        <w:footnoteReference w:id="121"/>
      </w:r>
    </w:p>
    <w:p w14:paraId="7BE9ABA5" w14:textId="77777777" w:rsidR="00805402" w:rsidRDefault="00000000">
      <w:pPr>
        <w:spacing w:after="160"/>
      </w:pPr>
      <w:r>
        <w:rPr>
          <w:rFonts w:ascii="Arial" w:hAnsi="Arial"/>
        </w:rPr>
        <w:t>But extending that employment doctrine to celebrity memoirs and CEO manifestos is a mistake. Unlike the memoir byline, the newsroom byline never claimed one person's judgment. Applying the commissioned-work rule to personal-voice books therefore vests exactly the kind of authorship that readers treat as testimony in whoever paid for the book. Narrowing the rule, so that legal authorship follows the writing in personal-voice categories, is a natural remedy.</w:t>
      </w:r>
      <w:r>
        <w:rPr>
          <w:rFonts w:ascii="Arial" w:hAnsi="Arial"/>
          <w:vertAlign w:val="superscript"/>
        </w:rPr>
        <w:footnoteReference w:id="122"/>
      </w:r>
    </w:p>
    <w:p w14:paraId="4E6AD446" w14:textId="77777777" w:rsidR="00805402" w:rsidRDefault="00000000">
      <w:pPr>
        <w:spacing w:before="280" w:after="120"/>
      </w:pPr>
      <w:r>
        <w:rPr>
          <w:rFonts w:ascii="Arial" w:hAnsi="Arial"/>
          <w:b/>
          <w:sz w:val="26"/>
        </w:rPr>
        <w:t>VIII. Three Solutions</w:t>
      </w:r>
    </w:p>
    <w:p w14:paraId="735E5A84" w14:textId="77777777" w:rsidR="00805402" w:rsidRDefault="00000000">
      <w:pPr>
        <w:spacing w:before="200" w:after="80"/>
      </w:pPr>
      <w:r>
        <w:rPr>
          <w:rFonts w:ascii="Arial" w:hAnsi="Arial"/>
          <w:b/>
          <w:sz w:val="24"/>
        </w:rPr>
        <w:t>A. The Design Question</w:t>
      </w:r>
    </w:p>
    <w:p w14:paraId="05C37909" w14:textId="77777777" w:rsidR="00805402" w:rsidRDefault="00000000">
      <w:pPr>
        <w:spacing w:after="160"/>
      </w:pPr>
      <w:r>
        <w:rPr>
          <w:rFonts w:ascii="Arial" w:hAnsi="Arial"/>
        </w:rPr>
        <w:lastRenderedPageBreak/>
        <w:t>What should the law do? Improve the authorship signal. Crucially, the authorship signal does not merely exist inside the book. It exists on the cover, in the marketing, in the metadata, and in every downstream mention. A remedy's power is therefore a function of its reach: how far does the truth it mandates travel? A disclosure buried on the copyright page reaches the diligent buyer who looks for it. Attribution on the byline travels with the work, through every review, citation, and catalogue entry, because the downstream nodes copy the byline automatically. A prohibition stops the false signal at the source, before it enters circulation at all.</w:t>
      </w:r>
    </w:p>
    <w:p w14:paraId="37070425" w14:textId="77777777" w:rsidR="00805402" w:rsidRDefault="00000000">
      <w:pPr>
        <w:spacing w:after="160"/>
      </w:pPr>
      <w:r>
        <w:rPr>
          <w:rFonts w:ascii="Arial" w:hAnsi="Arial"/>
        </w:rPr>
        <w:t>Three solutions follow, with escalating strength: disclose the assistance; attribute the authorship; prohibit and void the false byline. Each rung reaches one more population. Disclosure reaches diligent buyers. Attribution reaches buyers and writers, and travels far enough to reach most of the discourse. Prohibition stops the injury at the source for all three populations. This Part develops each rung, determines optimal coverage, assesses the value of the remedies against the scale of the injuries, and closes with the constitutional analysis (section F).</w:t>
      </w:r>
    </w:p>
    <w:p w14:paraId="2336C9EC" w14:textId="77777777" w:rsidR="00805402" w:rsidRDefault="00000000">
      <w:pPr>
        <w:spacing w:before="200" w:after="80"/>
      </w:pPr>
      <w:r>
        <w:rPr>
          <w:rFonts w:ascii="Arial" w:hAnsi="Arial"/>
          <w:b/>
          <w:sz w:val="24"/>
        </w:rPr>
        <w:t>B. Solution One: Mandatory Disclosure of Ghost Assistance</w:t>
      </w:r>
    </w:p>
    <w:p w14:paraId="07ED2B58" w14:textId="77777777" w:rsidR="00805402" w:rsidRDefault="00000000">
      <w:pPr>
        <w:spacing w:after="160"/>
      </w:pPr>
      <w:r>
        <w:rPr>
          <w:rFonts w:ascii="Arial" w:hAnsi="Arial"/>
        </w:rPr>
        <w:t>The gentlest rule requires that any substantial uncredited writer be disclosed inside the book, on the copyright page, in generic form if the parties prefer: "prepared with professional writing assistance." No names need be named; no cover need change; enforcement follows the model of labeling law, with the same modest apparatus of agency guidance and complaint-driven review. This is the rule most reform conversations reach for first.</w:t>
      </w:r>
      <w:r>
        <w:rPr>
          <w:rFonts w:ascii="Arial" w:hAnsi="Arial"/>
          <w:vertAlign w:val="superscript"/>
        </w:rPr>
        <w:footnoteReference w:id="123"/>
      </w:r>
    </w:p>
    <w:p w14:paraId="30A482D2" w14:textId="77777777" w:rsidR="00805402" w:rsidRDefault="00000000">
      <w:pPr>
        <w:spacing w:after="160"/>
      </w:pPr>
      <w:r>
        <w:rPr>
          <w:rFonts w:ascii="Arial" w:hAnsi="Arial"/>
        </w:rPr>
        <w:t>This disclosure rule would mitigate the lemons problem. Diligent buyers would be able to check whether the book was written by someone other than the headline author.</w:t>
      </w:r>
    </w:p>
    <w:p w14:paraId="323B8071" w14:textId="77777777" w:rsidR="00805402" w:rsidRDefault="00000000">
      <w:pPr>
        <w:spacing w:after="160"/>
      </w:pPr>
      <w:r>
        <w:rPr>
          <w:rFonts w:ascii="Arial" w:hAnsi="Arial"/>
        </w:rPr>
        <w:t>This rule is also the easiest proposal to implement from a constitutional perspective; section F below explains why.</w:t>
      </w:r>
    </w:p>
    <w:p w14:paraId="2FBB33D6" w14:textId="77777777" w:rsidR="00805402" w:rsidRDefault="00000000">
      <w:pPr>
        <w:spacing w:after="160"/>
      </w:pPr>
      <w:r>
        <w:rPr>
          <w:rFonts w:ascii="Arial" w:hAnsi="Arial"/>
        </w:rPr>
        <w:t>But this approach is insufficient for solving supply and third party problems. The issue is that authorship signal will continue to be distorted in several ways. First, consider the authorship signal for the ghost author. Mere disclosure that a book was ghost authored doesn’t contribute to the ghost’s reputation in any way. So the long-run supply effects on authors are only partly repaired.</w:t>
      </w:r>
      <w:r>
        <w:rPr>
          <w:rFonts w:ascii="Arial" w:hAnsi="Arial"/>
          <w:vertAlign w:val="superscript"/>
        </w:rPr>
        <w:footnoteReference w:id="124"/>
      </w:r>
      <w:r>
        <w:rPr>
          <w:rFonts w:ascii="Arial" w:hAnsi="Arial"/>
        </w:rPr>
        <w:t xml:space="preserve"> In addition, mere disclosure in a credits page is unlikely to percolate through the information ecosystem. Mere disclosure won't create the authorship signal if all the marketing just says the author is the CEO. The discourse never opens the book, so the testimony circulating under the named author's byline is exactly as false as before.</w:t>
      </w:r>
      <w:r>
        <w:rPr>
          <w:rFonts w:ascii="Arial" w:hAnsi="Arial"/>
          <w:vertAlign w:val="superscript"/>
        </w:rPr>
        <w:footnoteReference w:id="125"/>
      </w:r>
    </w:p>
    <w:p w14:paraId="3BC068D7" w14:textId="77777777" w:rsidR="00805402" w:rsidRDefault="00000000">
      <w:pPr>
        <w:spacing w:after="160"/>
      </w:pPr>
      <w:r>
        <w:rPr>
          <w:rFonts w:ascii="Arial" w:hAnsi="Arial"/>
        </w:rPr>
        <w:t xml:space="preserve">Even on the buyer side, disclosure regime only helps with sophisticated buyers, who read the fine print. The disclosure literature is filled with examples of failed regimes. Report cards on hospitals and schools get gamed by the parties being measured. Mandated fee disclosures often produce no measurable change in consumer behavior. And conflict-of-interest disclosures </w:t>
      </w:r>
      <w:r>
        <w:rPr>
          <w:rFonts w:ascii="Arial" w:hAnsi="Arial"/>
        </w:rPr>
        <w:lastRenderedPageBreak/>
        <w:t>can perversely increase bias, because an advisor who has disclosed a conflict feels licensed to press his own interest harder.</w:t>
      </w:r>
      <w:r>
        <w:rPr>
          <w:rFonts w:ascii="Arial" w:hAnsi="Arial"/>
          <w:vertAlign w:val="superscript"/>
        </w:rPr>
        <w:footnoteReference w:id="126"/>
      </w:r>
    </w:p>
    <w:p w14:paraId="5F82E09D" w14:textId="77777777" w:rsidR="00805402" w:rsidRDefault="00000000">
      <w:pPr>
        <w:spacing w:before="200" w:after="80"/>
      </w:pPr>
      <w:r>
        <w:rPr>
          <w:rFonts w:ascii="Arial" w:hAnsi="Arial"/>
          <w:b/>
          <w:sz w:val="24"/>
        </w:rPr>
        <w:t>C. Solution Two: Mandatory Attribution</w:t>
      </w:r>
    </w:p>
    <w:p w14:paraId="3AEFBF14" w14:textId="77777777" w:rsidR="00805402" w:rsidRDefault="00000000">
      <w:pPr>
        <w:spacing w:after="160"/>
      </w:pPr>
      <w:r>
        <w:rPr>
          <w:rFonts w:ascii="Arial" w:hAnsi="Arial"/>
        </w:rPr>
        <w:t>The second solution is mandatory attribution. At its heart is a falsity rule: no book may carry a sole personal byline unless the named person substantially authored it. Along with this goes a truthful credit for whoever substantially writes, "with Jane Roe," on the cover, the title page, and in the marketing. The credit need not unmask anyone. A ghost who values her privacy may take the credit under a registered pseudonym; the pen name is true authorship under another label, and a pen name that writes ten books builds a track record ten books long. The registration vehicle already exists: the Copyright Office registers pseudonymous works without publicly unmasking the author. If a legislature paired the credit rule with any identity registry, the registry would need the protections the compelled-disclosure cases now require for sensitive affiliations; the design here needs none of that, because the public record never has to contain the ghost's legal name at all.</w:t>
      </w:r>
      <w:r>
        <w:rPr>
          <w:rFonts w:ascii="Arial" w:hAnsi="Arial"/>
          <w:vertAlign w:val="superscript"/>
        </w:rPr>
        <w:footnoteReference w:id="127"/>
      </w:r>
      <w:r>
        <w:rPr>
          <w:rFonts w:ascii="Arial" w:hAnsi="Arial"/>
        </w:rPr>
        <w:t xml:space="preserve"> What the rule forbids is the zero-credit deal, where the record shows nothing at all. Substantiality follows the truth test from the literature on deception: did the named contributor make a substantial authorial contribution to the work as published?</w:t>
      </w:r>
      <w:r>
        <w:rPr>
          <w:rFonts w:ascii="Arial" w:hAnsi="Arial"/>
          <w:vertAlign w:val="superscript"/>
        </w:rPr>
        <w:footnoteReference w:id="128"/>
      </w:r>
    </w:p>
    <w:p w14:paraId="1A822627" w14:textId="77777777" w:rsidR="00805402" w:rsidRDefault="00000000">
      <w:pPr>
        <w:spacing w:after="160"/>
      </w:pPr>
      <w:r>
        <w:rPr>
          <w:rFonts w:ascii="Arial" w:hAnsi="Arial"/>
        </w:rPr>
        <w:t>In general, mandatory attribution has stronger effects than mandatory disclosure. The cover is what the bookstore displays, the marketing quotes, the review prints, the citation carries; as Part V showed, the downstream nodes copy whatever the byline says, truth and falsehood alike. The purchase function is repaired at the point of decision: buyers see the byline, not a buried note. The career function is repaired, because named credit accumulates to the person who wrote, and the labor market resumes learning.</w:t>
      </w:r>
      <w:r>
        <w:rPr>
          <w:rFonts w:ascii="Arial" w:hAnsi="Arial"/>
          <w:vertAlign w:val="superscript"/>
        </w:rPr>
        <w:footnoteReference w:id="129"/>
      </w:r>
      <w:r>
        <w:rPr>
          <w:rFonts w:ascii="Arial" w:hAnsi="Arial"/>
        </w:rPr>
        <w:t xml:space="preserve"> And the discourse substantially inherits the truth: the review of a book credited "with Jane Roe" writes "with Jane Roe," because the cover does.</w:t>
      </w:r>
      <w:r>
        <w:rPr>
          <w:rFonts w:ascii="Arial" w:hAnsi="Arial"/>
          <w:vertAlign w:val="superscript"/>
        </w:rPr>
        <w:footnoteReference w:id="130"/>
      </w:r>
    </w:p>
    <w:p w14:paraId="0DFE6F60" w14:textId="77777777" w:rsidR="00805402" w:rsidRDefault="00000000">
      <w:pPr>
        <w:spacing w:after="160"/>
      </w:pPr>
      <w:r>
        <w:rPr>
          <w:rFonts w:ascii="Arial" w:hAnsi="Arial"/>
        </w:rPr>
        <w:t>One way to implement this proposal is simply to make ghost nondisclosure agreements and concealment clauses unenforceable, with truthful ex-post disclosure by the ghost always lawful. This can address constitutional issues, by avoiding any compelling speech. Instead, the law merely declines to enforce silence. It stops lending the state's contract machinery to concealment, which is the smallest possible intervention with the largest informational yield.</w:t>
      </w:r>
    </w:p>
    <w:p w14:paraId="75037B1B" w14:textId="77777777" w:rsidR="00805402" w:rsidRDefault="00000000">
      <w:pPr>
        <w:spacing w:after="160"/>
      </w:pPr>
      <w:r>
        <w:rPr>
          <w:rFonts w:ascii="Arial" w:hAnsi="Arial"/>
        </w:rPr>
        <w:t xml:space="preserve">On the other hand, this kind of implementation may be limited in its success. Ghosts have an interest in avoiding disclosure, because disclosed ghost authorship is less valuable to the byline </w:t>
      </w:r>
      <w:r>
        <w:rPr>
          <w:rFonts w:ascii="Arial" w:hAnsi="Arial"/>
        </w:rPr>
        <w:lastRenderedPageBreak/>
        <w:t>author. Ghost authors with a long-term interest in repeated work would have an incentive not to blow up their careers.</w:t>
      </w:r>
    </w:p>
    <w:p w14:paraId="2196B4B8" w14:textId="77777777" w:rsidR="00805402" w:rsidRDefault="00000000">
      <w:pPr>
        <w:spacing w:after="160"/>
      </w:pPr>
      <w:r>
        <w:rPr>
          <w:rFonts w:ascii="Arial" w:hAnsi="Arial"/>
        </w:rPr>
        <w:t>More generally, mandatory attribution regimes still are limited in how strongly information about authorship will percolate. Marketing can still shout the celebrity and whisper the credit. The cover can carry "with Jane Roe" in six-point type under a name in seventy-two.</w:t>
      </w:r>
    </w:p>
    <w:p w14:paraId="2D9FBEB4" w14:textId="77777777" w:rsidR="00805402" w:rsidRDefault="00000000">
      <w:pPr>
        <w:spacing w:after="160"/>
      </w:pPr>
      <w:r>
        <w:rPr>
          <w:rFonts w:ascii="Arial" w:hAnsi="Arial"/>
        </w:rPr>
        <w:t>Here, one strengthening of mandatory attribution could include applications to advertising. On this approach, byline claims in commercial promotion would be actionable as deceptive practices. The natural enforcement route is the FTC's general deception authority rather than the Lanham Act.</w:t>
      </w:r>
      <w:r>
        <w:rPr>
          <w:rFonts w:ascii="Arial" w:hAnsi="Arial"/>
          <w:vertAlign w:val="superscript"/>
        </w:rPr>
        <w:footnoteReference w:id="131"/>
      </w:r>
    </w:p>
    <w:p w14:paraId="6463BA48" w14:textId="77777777" w:rsidR="00805402" w:rsidRDefault="00000000">
      <w:pPr>
        <w:spacing w:after="160"/>
      </w:pPr>
      <w:r>
        <w:rPr>
          <w:rFonts w:ascii="Arial" w:hAnsi="Arial"/>
        </w:rPr>
        <w:t>Note also that attribution does not tax specialization. The prosers and the idea people can divide labor exactly as before, at market rates, under a true label. The rule taxes nothing but the lie.</w:t>
      </w:r>
      <w:r>
        <w:rPr>
          <w:rFonts w:ascii="Arial" w:hAnsi="Arial"/>
          <w:vertAlign w:val="superscript"/>
        </w:rPr>
        <w:footnoteReference w:id="132"/>
      </w:r>
    </w:p>
    <w:p w14:paraId="60EE5384" w14:textId="77777777" w:rsidR="00805402" w:rsidRDefault="00000000">
      <w:pPr>
        <w:spacing w:after="160"/>
      </w:pPr>
      <w:r>
        <w:rPr>
          <w:rFonts w:ascii="Arial" w:hAnsi="Arial"/>
        </w:rPr>
        <w:t>France ran a version of this experiment, with instructive results. French law makes the author's attribution right inalienable: a ghostwriter's contractual anonymity clause is lawful but revocable at will, and even a comprehensive waiver signed under New York law could not stop a ghost from demanding her name on future French editions.</w:t>
      </w:r>
      <w:r>
        <w:rPr>
          <w:rFonts w:ascii="Arial" w:hAnsi="Arial"/>
          <w:vertAlign w:val="superscript"/>
        </w:rPr>
        <w:footnoteReference w:id="133"/>
      </w:r>
      <w:r>
        <w:rPr>
          <w:rFonts w:ascii="Arial" w:hAnsi="Arial"/>
        </w:rPr>
        <w:t xml:space="preserve"> French publishing nonetheless supports a thriving, open ghost trade, complete with celebrity ghosts who boast about the fees.</w:t>
      </w:r>
      <w:r>
        <w:rPr>
          <w:rFonts w:ascii="Arial" w:hAnsi="Arial"/>
          <w:vertAlign w:val="superscript"/>
        </w:rPr>
        <w:footnoteReference w:id="134"/>
      </w:r>
      <w:r>
        <w:rPr>
          <w:rFonts w:ascii="Arial" w:hAnsi="Arial"/>
        </w:rPr>
        <w:t xml:space="preserve"> Why does an unwaivable right not kill the market? Because the right belongs to the insider. The French ghost holds an ex post option to claim credit: the standard advice of the French publishing bar is to appease the ghost in advance with a collaboration credit and a royalty share, and the burden-of-proof rules discipline opportunistic claims.</w:t>
      </w:r>
      <w:r>
        <w:rPr>
          <w:rFonts w:ascii="Arial" w:hAnsi="Arial"/>
          <w:vertAlign w:val="superscript"/>
        </w:rPr>
        <w:footnoteReference w:id="135"/>
      </w:r>
      <w:r>
        <w:rPr>
          <w:rFonts w:ascii="Arial" w:hAnsi="Arial"/>
        </w:rPr>
        <w:t xml:space="preserve"> An inalienable right </w:t>
      </w:r>
      <w:r>
        <w:rPr>
          <w:rFonts w:ascii="Arial" w:hAnsi="Arial"/>
        </w:rPr>
        <w:lastRenderedPageBreak/>
        <w:t>without a public enforcer is a holdup right, and holdup rights get bought like everything else the insider owns.</w:t>
      </w:r>
    </w:p>
    <w:p w14:paraId="3206D65B" w14:textId="77777777" w:rsidR="00805402" w:rsidRDefault="00000000">
      <w:pPr>
        <w:spacing w:after="160"/>
      </w:pPr>
      <w:r>
        <w:rPr>
          <w:rFonts w:ascii="Arial" w:hAnsi="Arial"/>
        </w:rPr>
        <w:t>One more reform belongs in this family. Because standalone trade books rarely fit the commissioned-work categories, most ghost deals already run on assignment, and copyright reform cannot reach the byline directly. What Congress can do is treat the sham work-for-hire clauses that persist in trade contracts as nullities. The precedent for an entitlement that survives the author's own contract already exists: Congress made section 203's termination right inalienable, "notwithstanding any agreement to the contrary," precisely because it expected authors to sell it under pressure. And the one federal attribution right Congress has enacted, VARA's, is waivable by signed writing, and is waived as a matter of course: exactly the pattern this Article predicts.</w:t>
      </w:r>
      <w:r>
        <w:rPr>
          <w:rFonts w:ascii="Arial" w:hAnsi="Arial"/>
          <w:vertAlign w:val="superscript"/>
        </w:rPr>
        <w:footnoteReference w:id="136"/>
      </w:r>
    </w:p>
    <w:p w14:paraId="4B5A2E02" w14:textId="77777777" w:rsidR="00805402" w:rsidRDefault="00000000">
      <w:pPr>
        <w:spacing w:before="200" w:after="80"/>
      </w:pPr>
      <w:r>
        <w:rPr>
          <w:rFonts w:ascii="Arial" w:hAnsi="Arial"/>
          <w:b/>
          <w:sz w:val="24"/>
        </w:rPr>
        <w:t>D. Solution Three: Prohibition</w:t>
      </w:r>
    </w:p>
    <w:p w14:paraId="5DA3F178" w14:textId="77777777" w:rsidR="00805402" w:rsidRDefault="00000000">
      <w:pPr>
        <w:spacing w:after="160"/>
      </w:pPr>
      <w:r>
        <w:rPr>
          <w:rFonts w:ascii="Arial" w:hAnsi="Arial"/>
        </w:rPr>
        <w:t>Finally, the strongest rule would be to prohibit ghost authorship. On this approach, paid false attribution of authorship in commercially published works is unlawful. By restricting to paid work, gratuitous assistance and ordinary editing is untouched. By restricting to false attribution of authorship, disclosed collaboration is compliant. By restricting to commercially published works, private documents, speeches, and official writing are all excluded. Two further elements belong in the statute explicitly: scienter (a knowledge requirement), so that only knowing false attribution is reached, and materiality, so the false byline must be the kind of representation that matters to reasonable purchasers. Those two elements focus on fraud, and make it easier to resolve messy cases like heavy editing. They also answer the vagueness worry: a rule targeting only knowing, material false attribution does not block honest collaboration, because the gray middle of heavy editing fails the knowledge element before any court reaches substantiality, and agency gatekeeping keeps complaint-driven harassment out of the courts.</w:t>
      </w:r>
      <w:r>
        <w:rPr>
          <w:rFonts w:ascii="Arial" w:hAnsi="Arial"/>
          <w:vertAlign w:val="superscript"/>
        </w:rPr>
        <w:footnoteReference w:id="137"/>
      </w:r>
      <w:r>
        <w:rPr>
          <w:rFonts w:ascii="Arial" w:hAnsi="Arial"/>
        </w:rPr>
        <w:t xml:space="preserve"> In this regime, ghost contracts are void and unenforceable. This generalizes </w:t>
      </w:r>
      <w:r>
        <w:rPr>
          <w:rFonts w:ascii="Arial" w:hAnsi="Arial"/>
          <w:i/>
        </w:rPr>
        <w:t>Roddy-Eden v. Berle</w:t>
      </w:r>
      <w:r>
        <w:rPr>
          <w:rFonts w:ascii="Arial" w:hAnsi="Arial"/>
        </w:rPr>
        <w:t>, where one court refused to enforce a ghost deal, into a rule for the whole field. Remedies then track the deal's profits. The parties to a ghost contract earn a premium from concealment: the byline sells for more because no one knows it was bought. Disgorgement means the violator pays that profit back. The gain from hiding the arrangement becomes the measure of liability, and civil penalties are scaled to it.</w:t>
      </w:r>
      <w:r>
        <w:rPr>
          <w:rFonts w:ascii="Arial" w:hAnsi="Arial"/>
          <w:vertAlign w:val="superscript"/>
        </w:rPr>
        <w:footnoteReference w:id="138"/>
      </w:r>
    </w:p>
    <w:p w14:paraId="75737443" w14:textId="77777777" w:rsidR="00805402" w:rsidRDefault="00000000">
      <w:pPr>
        <w:spacing w:after="160"/>
      </w:pPr>
      <w:r>
        <w:rPr>
          <w:rFonts w:ascii="Arial" w:hAnsi="Arial"/>
        </w:rPr>
        <w:t>A ban differs from mandatory attribution in three ways. First, the deal itself is unlawful, so deterrence reaches the contracting stage, where the NDAs are drafted and the concealment is priced, rather than waiting for a mislabeled product to surface. Second, the contracts are void, so no court will enforce the concealment machinery between the parties: the ghost who talks cannot be sued into silence, and the buyer who is exposed cannot recover his fee. Finally, penalties attach, so the concealment premium becomes a liability rather than a profit margin.</w:t>
      </w:r>
    </w:p>
    <w:p w14:paraId="69402F37" w14:textId="77777777" w:rsidR="00805402" w:rsidRDefault="00000000">
      <w:pPr>
        <w:spacing w:after="160"/>
      </w:pPr>
      <w:r>
        <w:rPr>
          <w:rFonts w:ascii="Arial" w:hAnsi="Arial"/>
        </w:rPr>
        <w:t xml:space="preserve">Enforcement should be public. Both parties consent, so no private plaintiff exists: the ghost is unharmed by hypothesis, and a class action by the world's readers is silly. (Reader suits have </w:t>
      </w:r>
      <w:r>
        <w:rPr>
          <w:rFonts w:ascii="Arial" w:hAnsi="Arial"/>
        </w:rPr>
        <w:lastRenderedPageBreak/>
        <w:t>succeeded where a deception surfaced publicly, as with James Frey; a ghost deal that works never surfaces.) The argument from third party interests justifies agency enforcement on the consumer-protection model: an enforcer whose mandate is the outsiders' interest, funded by the penalties the insiders pay.</w:t>
      </w:r>
      <w:r>
        <w:rPr>
          <w:rFonts w:ascii="Arial" w:hAnsi="Arial"/>
          <w:vertAlign w:val="superscript"/>
        </w:rPr>
        <w:footnoteReference w:id="139"/>
      </w:r>
      <w:r>
        <w:rPr>
          <w:rFonts w:ascii="Arial" w:hAnsi="Arial"/>
        </w:rPr>
        <w:t xml:space="preserve"> The comparison is to labeling and advertising law: there too the injured parties are dispersed, the deception is profitable, and the law long ago stopped waiting for a victim with standing. A few more design questions are relevant. First, if truthful provenance is valuable, why has no private certifier ever sold it: no "certified self-written" mark in a century of the trade? Because authorship is unverifiable from outside the deal; a certifier can inspect a factory but cannot inspect who typed, so certification fails exactly where enforcement must reach. Second, detection: the ghost is the only witness, so the statute should pay her to talk. A whistleblower bounty for ghosts, layered on the rule that concealment clauses are unenforceable, converts every ghost contract into a standing detection risk for the buyer.</w:t>
      </w:r>
      <w:r>
        <w:rPr>
          <w:rFonts w:ascii="Arial" w:hAnsi="Arial"/>
          <w:vertAlign w:val="superscript"/>
        </w:rPr>
        <w:footnoteReference w:id="140"/>
      </w:r>
    </w:p>
    <w:p w14:paraId="5E603B01" w14:textId="77777777" w:rsidR="00805402" w:rsidRDefault="00000000">
      <w:pPr>
        <w:spacing w:after="160"/>
      </w:pPr>
      <w:r>
        <w:rPr>
          <w:rFonts w:ascii="Arial" w:hAnsi="Arial"/>
        </w:rPr>
        <w:t>Is the ban compatible with the First Amendment? That question gets a section of its own; section F makes the case that it is, and shows that nothing in the argument depends on winning the hardest constitutional fight.</w:t>
      </w:r>
    </w:p>
    <w:p w14:paraId="2CC47007" w14:textId="77777777" w:rsidR="00805402" w:rsidRDefault="00000000">
      <w:pPr>
        <w:spacing w:after="160"/>
      </w:pPr>
      <w:r>
        <w:rPr>
          <w:rFonts w:ascii="Arial" w:hAnsi="Arial"/>
        </w:rPr>
        <w:t>One restriction on the prohibition is books for political campaigns. Policy books for political campaigns are commonly ghostwritten, and politician books are a perfect example of ghosts distorting the authorship signal: voters consume the byline as evidence of judgment, conviction, and literacy.</w:t>
      </w:r>
      <w:r>
        <w:rPr>
          <w:rFonts w:ascii="Arial" w:hAnsi="Arial"/>
          <w:vertAlign w:val="superscript"/>
        </w:rPr>
        <w:footnoteReference w:id="141"/>
      </w:r>
      <w:r>
        <w:rPr>
          <w:rFonts w:ascii="Arial" w:hAnsi="Arial"/>
        </w:rPr>
        <w:t xml:space="preserve"> But the courts applying </w:t>
      </w:r>
      <w:r>
        <w:rPr>
          <w:rFonts w:ascii="Arial" w:hAnsi="Arial"/>
          <w:i/>
        </w:rPr>
        <w:t>Alvarez</w:t>
      </w:r>
      <w:r>
        <w:rPr>
          <w:rFonts w:ascii="Arial" w:hAnsi="Arial"/>
        </w:rPr>
        <w:t xml:space="preserve"> have been unwilling to let the state police falsity in the middle of campaigns, and for reasons that reach beyond message content: complaint timing and partisan enforcement can weaponize any truth-adjudicating body against candidates.</w:t>
      </w:r>
      <w:r>
        <w:rPr>
          <w:rFonts w:ascii="Arial" w:hAnsi="Arial"/>
          <w:vertAlign w:val="superscript"/>
        </w:rPr>
        <w:footnoteReference w:id="142"/>
      </w:r>
      <w:r>
        <w:rPr>
          <w:rFonts w:ascii="Arial" w:hAnsi="Arial"/>
        </w:rPr>
        <w:t xml:space="preserve"> So regulations on campaign books should be restricted to mandatory attribution. Here, the Supreme Court has repeatedly upheld disclaimer and disclosure requirements attached to core political speech, on the theory that source information aids electoral debate rather than suppressing it.</w:t>
      </w:r>
      <w:r>
        <w:rPr>
          <w:rFonts w:ascii="Arial" w:hAnsi="Arial"/>
          <w:vertAlign w:val="superscript"/>
        </w:rPr>
        <w:footnoteReference w:id="143"/>
      </w:r>
    </w:p>
    <w:p w14:paraId="070A8E25" w14:textId="77777777" w:rsidR="00805402" w:rsidRDefault="00000000">
      <w:pPr>
        <w:spacing w:after="160"/>
      </w:pPr>
      <w:r>
        <w:rPr>
          <w:rFonts w:ascii="Arial" w:hAnsi="Arial"/>
        </w:rPr>
        <w:t xml:space="preserve">There are several costs for a full ban. First, there are difficult questions of boundary enforcement. How much uncredited editing is authorship? The best way to address this is with a test for substantiality. But there are hard cases, such as heavy editing. Second, the ban looks paternalistic, by removing the best paying option available to risk averse ghost authors. This is true, but on the other hand, in the new regime there would still be opportunities for coauthored books, albeit with lower compensation rates. The third problem is evasion: parties will restructure as "editing" or "research assistance." Still, overall a ban should have some </w:t>
      </w:r>
      <w:r>
        <w:rPr>
          <w:rFonts w:ascii="Arial" w:hAnsi="Arial"/>
        </w:rPr>
        <w:lastRenderedPageBreak/>
        <w:t>significant effects on the rate of ghost authorship, and on the resulting consequences for dilution of authorship signal.</w:t>
      </w:r>
      <w:r>
        <w:rPr>
          <w:rFonts w:ascii="Arial" w:hAnsi="Arial"/>
          <w:vertAlign w:val="superscript"/>
        </w:rPr>
        <w:footnoteReference w:id="144"/>
      </w:r>
    </w:p>
    <w:p w14:paraId="3AFBCD80" w14:textId="77777777" w:rsidR="00805402" w:rsidRDefault="00000000">
      <w:pPr>
        <w:spacing w:before="200" w:after="80"/>
      </w:pPr>
      <w:r>
        <w:rPr>
          <w:rFonts w:ascii="Arial" w:hAnsi="Arial"/>
          <w:b/>
          <w:sz w:val="24"/>
        </w:rPr>
        <w:t>E. Assessment, Carve-Outs, and AI</w:t>
      </w:r>
    </w:p>
    <w:p w14:paraId="690779D8" w14:textId="77777777" w:rsidR="00805402" w:rsidRDefault="00000000">
      <w:pPr>
        <w:spacing w:after="160"/>
      </w:pPr>
      <w:r>
        <w:rPr>
          <w:rFonts w:ascii="Arial" w:hAnsi="Arial"/>
        </w:rPr>
        <w:t>The three solutions proposed above apply to different problems. Disclosure addresses the demand side for diligent buyers. Attribution addresses both the demand side and the supply side, and deals with most of the third party injury, provided the attribution also appears in the marketing. Prohibition strengthens the solution by creating deterrence mechanisms, but imposes higher administrative and constitutional costs.</w:t>
      </w:r>
    </w:p>
    <w:p w14:paraId="5EDA4535" w14:textId="77777777" w:rsidR="00805402" w:rsidRDefault="00000000">
      <w:pPr>
        <w:spacing w:after="160"/>
      </w:pPr>
      <w:r>
        <w:rPr>
          <w:rFonts w:ascii="Arial" w:hAnsi="Arial"/>
        </w:rPr>
        <w:t>One way to implement these proposals is to apply stronger standards for areas in which authorship signal is more important, such as expertise. The three solutions can thus be thought of as an escalating package of options.</w:t>
      </w:r>
    </w:p>
    <w:p w14:paraId="769DF81D" w14:textId="77777777" w:rsidR="00805402" w:rsidRDefault="00000000">
      <w:pPr>
        <w:spacing w:after="160"/>
      </w:pPr>
      <w:r>
        <w:rPr>
          <w:rFonts w:ascii="Arial" w:hAnsi="Arial"/>
        </w:rPr>
        <w:t>There are all sorts of cases in which the tools above should not be applied.</w:t>
      </w:r>
    </w:p>
    <w:p w14:paraId="25446606" w14:textId="77777777" w:rsidR="00805402" w:rsidRDefault="00000000">
      <w:pPr>
        <w:spacing w:after="160"/>
      </w:pPr>
      <w:r>
        <w:rPr>
          <w:rFonts w:ascii="Arial" w:hAnsi="Arial"/>
        </w:rPr>
        <w:t>Disclosed collaboration ("with" credits, co-authorship, credited research) is not ghost authorship at all: the label is true. Institutional and official authorship (judicial opinions, agency documents, speeches) carries calibrated public expectations and complete institutional accountability: the clerk-drafted opinion is professionally notorious, institutionally owned, and answerable on appeal.</w:t>
      </w:r>
      <w:r>
        <w:rPr>
          <w:rFonts w:ascii="Arial" w:hAnsi="Arial"/>
          <w:vertAlign w:val="superscript"/>
        </w:rPr>
        <w:footnoteReference w:id="145"/>
      </w:r>
      <w:r>
        <w:rPr>
          <w:rFonts w:ascii="Arial" w:hAnsi="Arial"/>
        </w:rPr>
        <w:t xml:space="preserve"> Pen names are true authorship under another label.</w:t>
      </w:r>
      <w:r>
        <w:rPr>
          <w:rFonts w:ascii="Arial" w:hAnsi="Arial"/>
          <w:vertAlign w:val="superscript"/>
        </w:rPr>
        <w:footnoteReference w:id="146"/>
      </w:r>
      <w:r>
        <w:rPr>
          <w:rFonts w:ascii="Arial" w:hAnsi="Arial"/>
        </w:rPr>
        <w:t xml:space="preserve"> And calibrated production brands sit on the conceded periphery, where the byline promises a kind of book rather than a person's testimony. Shared house pseudonyms are also relevant here: a name generations of writers work under is a brand with no person to misrepresent, and the credit rule treats it exactly as it treats a pen name.</w:t>
      </w:r>
      <w:r>
        <w:rPr>
          <w:rFonts w:ascii="Arial" w:hAnsi="Arial"/>
          <w:vertAlign w:val="superscript"/>
        </w:rPr>
        <w:footnoteReference w:id="147"/>
      </w:r>
    </w:p>
    <w:p w14:paraId="4C0AC6D3" w14:textId="77777777" w:rsidR="00805402" w:rsidRDefault="00000000">
      <w:pPr>
        <w:spacing w:after="160"/>
      </w:pPr>
      <w:r>
        <w:rPr>
          <w:rFonts w:ascii="Arial" w:hAnsi="Arial"/>
        </w:rPr>
        <w:t>How does all of this apply to AI ghost authorship? The main arguments of the paper, especially on the buyer side and for third party effects, apply to AI ghost authorship. In this context, the positive proposals above suggest mandating disclosure of AI assistance. Two further points follow. First, recall from Part III that the current registration rules reward concealment of AI drafting: the material is uncopyrightable either way, but the concealer claims a registration the honest filer cannot, and keeps it until someone detects the lie. The reforms above lean against that incentive. Unenforceable concealment clauses make the truth easier to surface, and truthful attribution rules make the human-made label mean what it says.</w:t>
      </w:r>
      <w:r>
        <w:rPr>
          <w:rFonts w:ascii="Arial" w:hAnsi="Arial"/>
          <w:vertAlign w:val="superscript"/>
        </w:rPr>
        <w:footnoteReference w:id="148"/>
      </w:r>
      <w:r>
        <w:rPr>
          <w:rFonts w:ascii="Arial" w:hAnsi="Arial"/>
        </w:rPr>
        <w:t xml:space="preserve"> Second, the framework needs no special rule for machines. The arguments never depended on whether the ghost was a person. If the law someday allows an AI system to be credited as an author, truthful crediting would be the attribution rule working as intended. The target was always the false byline, not machine production as such. Administrability, finally, has existence proofs with honest caveats. England now criminalizes the paid production of assessed student work: proof the prohibited </w:t>
      </w:r>
      <w:r>
        <w:rPr>
          <w:rFonts w:ascii="Arial" w:hAnsi="Arial"/>
        </w:rPr>
        <w:lastRenderedPageBreak/>
        <w:t>transaction can be defined, though not yet that it can be efficiently policed.</w:t>
      </w:r>
      <w:r>
        <w:rPr>
          <w:rFonts w:ascii="Arial" w:hAnsi="Arial"/>
          <w:vertAlign w:val="superscript"/>
        </w:rPr>
        <w:footnoteReference w:id="149"/>
      </w:r>
      <w:r>
        <w:rPr>
          <w:rFonts w:ascii="Arial" w:hAnsi="Arial"/>
        </w:rPr>
        <w:t xml:space="preserve"> The FTC's fake-reviews rule bans a class of paid misattribution outright.</w:t>
      </w:r>
      <w:r>
        <w:rPr>
          <w:rFonts w:ascii="Arial" w:hAnsi="Arial"/>
          <w:vertAlign w:val="superscript"/>
        </w:rPr>
        <w:footnoteReference w:id="150"/>
      </w:r>
      <w:r>
        <w:rPr>
          <w:rFonts w:ascii="Arial" w:hAnsi="Arial"/>
        </w:rPr>
        <w:t xml:space="preserve"> And the gentler scholarly alternatives fail for reasons already given: a waivable attribution right would be waived, since waiver is the practice; a fair-use attribution factor never reaches a consensual sale; an employment-contract right stops at the labor market's edge.</w:t>
      </w:r>
      <w:r>
        <w:rPr>
          <w:rFonts w:ascii="Arial" w:hAnsi="Arial"/>
          <w:vertAlign w:val="superscript"/>
        </w:rPr>
        <w:footnoteReference w:id="151"/>
      </w:r>
    </w:p>
    <w:p w14:paraId="547A73E7" w14:textId="77777777" w:rsidR="00805402" w:rsidRDefault="00000000">
      <w:pPr>
        <w:spacing w:before="200" w:after="80"/>
      </w:pPr>
      <w:r>
        <w:rPr>
          <w:rFonts w:ascii="Arial" w:hAnsi="Arial"/>
          <w:b/>
          <w:sz w:val="24"/>
        </w:rPr>
        <w:t>F. Constitutionality</w:t>
      </w:r>
    </w:p>
    <w:p w14:paraId="78BD4A4B" w14:textId="77777777" w:rsidR="00805402" w:rsidRDefault="00000000">
      <w:pPr>
        <w:spacing w:after="160"/>
      </w:pPr>
      <w:r>
        <w:rPr>
          <w:rFonts w:ascii="Arial" w:hAnsi="Arial"/>
        </w:rPr>
        <w:t>Finally, how do the three solutions fare under the First Amendment? The three solutions raise different questions. A disclosure mandate compels commercial speech. An attribution mandate polices a voluntary factual claim, and withdraws contract enforcement from concealment. A prohibition suppresses a category of false statements outright.</w:t>
      </w:r>
    </w:p>
    <w:p w14:paraId="10D8163C" w14:textId="77777777" w:rsidR="00805402" w:rsidRDefault="00000000">
      <w:pPr>
        <w:spacing w:before="160" w:after="60"/>
      </w:pPr>
      <w:r>
        <w:rPr>
          <w:rFonts w:ascii="Arial" w:hAnsi="Arial"/>
          <w:b/>
          <w:i/>
        </w:rPr>
        <w:t>1. Disclosure</w:t>
      </w:r>
    </w:p>
    <w:p w14:paraId="4CD9C05B" w14:textId="77777777" w:rsidR="00805402" w:rsidRDefault="00000000">
      <w:pPr>
        <w:spacing w:after="160"/>
      </w:pPr>
      <w:r>
        <w:rPr>
          <w:rFonts w:ascii="Arial" w:hAnsi="Arial"/>
        </w:rPr>
        <w:t xml:space="preserve">Start with disclosure. Mandatory disclosure is compelled speech, and compelled speech normally raises First Amendment problems. But in </w:t>
      </w:r>
      <w:r>
        <w:rPr>
          <w:rFonts w:ascii="Arial" w:hAnsi="Arial"/>
          <w:i/>
        </w:rPr>
        <w:t>Zauderer</w:t>
      </w:r>
      <w:r>
        <w:rPr>
          <w:rFonts w:ascii="Arial" w:hAnsi="Arial"/>
        </w:rPr>
        <w:t>, the Supreme Court held that the government may require sellers to make purely factual, uncontroversial disclosures about their products, and that such requirements receive lenient review so long as they are not unduly burdensome.</w:t>
      </w:r>
      <w:r>
        <w:rPr>
          <w:rFonts w:ascii="Arial" w:hAnsi="Arial"/>
          <w:vertAlign w:val="superscript"/>
        </w:rPr>
        <w:footnoteReference w:id="152"/>
      </w:r>
      <w:r>
        <w:rPr>
          <w:rFonts w:ascii="Arial" w:hAnsi="Arial"/>
        </w:rPr>
        <w:t xml:space="preserve"> A one-line statement that a book was prepared with professional writing assistance is this kind of disclosure. It expresses no opinion, carries no stigma, and involves no contested science. Here, some may claim that books are not commercial speech, and a court could hold that a disclosure compelled inside a fully protected work gets exacting review rather than </w:t>
      </w:r>
      <w:r>
        <w:rPr>
          <w:rFonts w:ascii="Arial" w:hAnsi="Arial"/>
          <w:i/>
        </w:rPr>
        <w:t>Zauderer</w:t>
      </w:r>
      <w:r>
        <w:rPr>
          <w:rFonts w:ascii="Arial" w:hAnsi="Arial"/>
        </w:rPr>
        <w:t>'s lenient look. The mandate should survive either way: it is narrowly aimed at preventing deception about the product's own provenance, and the federal courts have upheld provenance labeling on fully protected expressive works before.</w:t>
      </w:r>
      <w:r>
        <w:rPr>
          <w:rFonts w:ascii="Arial" w:hAnsi="Arial"/>
          <w:vertAlign w:val="superscript"/>
        </w:rPr>
        <w:footnoteReference w:id="153"/>
      </w:r>
    </w:p>
    <w:p w14:paraId="58B5449D" w14:textId="77777777" w:rsidR="00805402" w:rsidRDefault="00000000">
      <w:pPr>
        <w:spacing w:after="160"/>
      </w:pPr>
      <w:r>
        <w:rPr>
          <w:rFonts w:ascii="Arial" w:hAnsi="Arial"/>
        </w:rPr>
        <w:t xml:space="preserve">The harder objection comes from </w:t>
      </w:r>
      <w:r>
        <w:rPr>
          <w:rFonts w:ascii="Arial" w:hAnsi="Arial"/>
          <w:i/>
        </w:rPr>
        <w:t>NIFLA v. Becerra</w:t>
      </w:r>
      <w:r>
        <w:rPr>
          <w:rFonts w:ascii="Arial" w:hAnsi="Arial"/>
        </w:rPr>
        <w:t xml:space="preserve">. Crisis pregnancy centers are clinics run by opponents of abortion. California required them to post notices telling patients that the state offers free or low-cost services, including abortion. The Supreme Court refused to apply </w:t>
      </w:r>
      <w:r>
        <w:rPr>
          <w:rFonts w:ascii="Arial" w:hAnsi="Arial"/>
          <w:i/>
        </w:rPr>
        <w:t>Zauderer</w:t>
      </w:r>
      <w:r>
        <w:rPr>
          <w:rFonts w:ascii="Arial" w:hAnsi="Arial"/>
        </w:rPr>
        <w:t xml:space="preserve"> to that mandate: the required notice was controversial in the plainest sense, because it made the clinics deliver the state's message about the very practice they existed to oppose. </w:t>
      </w:r>
      <w:r>
        <w:rPr>
          <w:rFonts w:ascii="Arial" w:hAnsi="Arial"/>
          <w:i/>
        </w:rPr>
        <w:t>NIFLA</w:t>
      </w:r>
      <w:r>
        <w:rPr>
          <w:rFonts w:ascii="Arial" w:hAnsi="Arial"/>
        </w:rPr>
        <w:t xml:space="preserve"> teaches that </w:t>
      </w:r>
      <w:r>
        <w:rPr>
          <w:rFonts w:ascii="Arial" w:hAnsi="Arial"/>
          <w:i/>
        </w:rPr>
        <w:t>Zauderer</w:t>
      </w:r>
      <w:r>
        <w:rPr>
          <w:rFonts w:ascii="Arial" w:hAnsi="Arial"/>
        </w:rPr>
        <w:t xml:space="preserve">'s word "uncontroversial" matters. A disclosure mandate cannot conscript unwilling speakers into contested moral territory. A provenance line does not approach that boundary. Whether a book was professionally drafted is a fact about how the product was made, like a country-of-origin label or an ingredients panel; it takes no side in anything. </w:t>
      </w:r>
      <w:r>
        <w:rPr>
          <w:rFonts w:ascii="Arial" w:hAnsi="Arial"/>
          <w:i/>
        </w:rPr>
        <w:t>NIFLA</w:t>
      </w:r>
      <w:r>
        <w:rPr>
          <w:rFonts w:ascii="Arial" w:hAnsi="Arial"/>
        </w:rPr>
        <w:t xml:space="preserve"> also struck a second notice as unduly burdensome, a warning in up to thirteen languages that </w:t>
      </w:r>
      <w:r>
        <w:rPr>
          <w:rFonts w:ascii="Arial" w:hAnsi="Arial"/>
        </w:rPr>
        <w:lastRenderedPageBreak/>
        <w:t>would have swamped the advertisements it rode on.</w:t>
      </w:r>
      <w:r>
        <w:rPr>
          <w:rFonts w:ascii="Arial" w:hAnsi="Arial"/>
          <w:vertAlign w:val="superscript"/>
        </w:rPr>
        <w:footnoteReference w:id="154"/>
      </w:r>
      <w:r>
        <w:rPr>
          <w:rFonts w:ascii="Arial" w:hAnsi="Arial"/>
        </w:rPr>
        <w:t xml:space="preserve"> One line on a copyright page is the opposite case.</w:t>
      </w:r>
      <w:r>
        <w:rPr>
          <w:rFonts w:ascii="Arial" w:hAnsi="Arial"/>
          <w:vertAlign w:val="superscript"/>
        </w:rPr>
        <w:footnoteReference w:id="155"/>
      </w:r>
    </w:p>
    <w:p w14:paraId="3D1627E8" w14:textId="77777777" w:rsidR="00805402" w:rsidRDefault="00000000">
      <w:pPr>
        <w:spacing w:after="160"/>
      </w:pPr>
      <w:r>
        <w:rPr>
          <w:rFonts w:ascii="Arial" w:hAnsi="Arial"/>
        </w:rPr>
        <w:t xml:space="preserve">Notice also who is compelled. The duty attaches to the publisher's packaging of a commercial product, not to the author's text, and nothing inside the book changes. That matters because the compelled-speech cases relevant to the objection involve forced alteration of a speaker's own message. </w:t>
      </w:r>
      <w:r>
        <w:rPr>
          <w:rFonts w:ascii="Arial" w:hAnsi="Arial"/>
          <w:i/>
        </w:rPr>
        <w:t>Tornillo</w:t>
      </w:r>
      <w:r>
        <w:rPr>
          <w:rFonts w:ascii="Arial" w:hAnsi="Arial"/>
        </w:rPr>
        <w:t xml:space="preserve"> struck a statute forcing newspapers to print replies they did not want to print.</w:t>
      </w:r>
      <w:r>
        <w:rPr>
          <w:rFonts w:ascii="Arial" w:hAnsi="Arial"/>
          <w:vertAlign w:val="superscript"/>
        </w:rPr>
        <w:footnoteReference w:id="156"/>
      </w:r>
      <w:r>
        <w:rPr>
          <w:rFonts w:ascii="Arial" w:hAnsi="Arial"/>
        </w:rPr>
        <w:t xml:space="preserve"> </w:t>
      </w:r>
      <w:r>
        <w:rPr>
          <w:rFonts w:ascii="Arial" w:hAnsi="Arial"/>
          <w:i/>
        </w:rPr>
        <w:t>Hurley</w:t>
      </w:r>
      <w:r>
        <w:rPr>
          <w:rFonts w:ascii="Arial" w:hAnsi="Arial"/>
        </w:rPr>
        <w:t xml:space="preserve"> held that parade organizers could not be made to admit a contingent whose message they declined to carry.</w:t>
      </w:r>
      <w:r>
        <w:rPr>
          <w:rFonts w:ascii="Arial" w:hAnsi="Arial"/>
          <w:vertAlign w:val="superscript"/>
        </w:rPr>
        <w:footnoteReference w:id="157"/>
      </w:r>
      <w:r>
        <w:rPr>
          <w:rFonts w:ascii="Arial" w:hAnsi="Arial"/>
        </w:rPr>
        <w:t xml:space="preserve"> A provenance line on the copyright page makes no one carry anyone's message and alters no expressive content. It is more like the label on a bottle.</w:t>
      </w:r>
    </w:p>
    <w:p w14:paraId="1605C633" w14:textId="77777777" w:rsidR="00805402" w:rsidRDefault="00000000">
      <w:pPr>
        <w:spacing w:before="160" w:after="60"/>
      </w:pPr>
      <w:r>
        <w:rPr>
          <w:rFonts w:ascii="Arial" w:hAnsi="Arial"/>
          <w:b/>
          <w:i/>
        </w:rPr>
        <w:t>2. Attribution</w:t>
      </w:r>
    </w:p>
    <w:p w14:paraId="769160F9" w14:textId="77777777" w:rsidR="00805402" w:rsidRDefault="00000000">
      <w:pPr>
        <w:spacing w:after="160"/>
      </w:pPr>
      <w:r>
        <w:rPr>
          <w:rFonts w:ascii="Arial" w:hAnsi="Arial"/>
        </w:rPr>
        <w:t xml:space="preserve">Now consider the attribution mandate. This looks harder, because it affects the cover of the book. But the attribution mandate above was designed carefully. The rule compels no one to say anything. It is a conditional truthfulness rule: if a personal byline is claimed, the byline must be substantially true. An author who wants silence keeps every truthful option: anonymity, a pseudonym, a staff credit, no personal byline at all. The rule's trigger is an affirmative factual claim about who wrote the book, and its only command is that the claim not be false. That is the structure of false-statement regulation, not of compelled speech. </w:t>
      </w:r>
      <w:r>
        <w:rPr>
          <w:rFonts w:ascii="Arial" w:hAnsi="Arial"/>
          <w:i/>
        </w:rPr>
        <w:t>Riley</w:t>
      </w:r>
      <w:r>
        <w:rPr>
          <w:rFonts w:ascii="Arial" w:hAnsi="Arial"/>
        </w:rPr>
        <w:t>, the case giving compelled disclosures in fully protected speech more exacting review, involved the opposite structure: a professional fundraiser who wished to solicit was forced to deliver the state's chosen disclosure before speaking.</w:t>
      </w:r>
      <w:r>
        <w:rPr>
          <w:rFonts w:ascii="Arial" w:hAnsi="Arial"/>
          <w:vertAlign w:val="superscript"/>
        </w:rPr>
        <w:footnoteReference w:id="158"/>
      </w:r>
      <w:r>
        <w:rPr>
          <w:rFonts w:ascii="Arial" w:hAnsi="Arial"/>
        </w:rPr>
        <w:t xml:space="preserve"> Here the state chooses no message, and a speaker comes within the rule only by claiming an authorship that is not real. The harder version of the objection comes from the other side of the contract: the mandate requires crediting the ghost, and the ghost may prefer anonymity, the very interest the anonymity cases protect. The design answers this. The required credit may be pseudonymous, so the ghost's identity is never compelled from her; what cannot be purchased is the absence of any credit at all, because the zero-credit deal is what makes the named author's sole byline false. If a court thought even a pseudonymous-credit requirement compelled too much, the rule's core would survive as a pure falsity rule: no sole personal byline without substantial authorship. That version compels nothing from anyone, at the price of doing less for the writers' side of the market.</w:t>
      </w:r>
    </w:p>
    <w:p w14:paraId="4242377A" w14:textId="77777777" w:rsidR="00805402" w:rsidRDefault="00000000">
      <w:pPr>
        <w:spacing w:after="160"/>
      </w:pPr>
      <w:r>
        <w:rPr>
          <w:rFonts w:ascii="Arial" w:hAnsi="Arial"/>
        </w:rPr>
        <w:t>Recall also that the Article's attribution mandate involved making concealment clauses unenforceable. This compels nothing from anyone. The ghost who wishes to keep silent may; the state simply stops lending its courts to the enforcement of silence, the same move contract law makes against any covenant contrary to public policy. It regulates no speech at all.</w:t>
      </w:r>
      <w:r>
        <w:rPr>
          <w:rFonts w:ascii="Arial" w:hAnsi="Arial"/>
          <w:vertAlign w:val="superscript"/>
        </w:rPr>
        <w:footnoteReference w:id="159"/>
      </w:r>
    </w:p>
    <w:p w14:paraId="0157294D" w14:textId="77777777" w:rsidR="00805402" w:rsidRDefault="00000000">
      <w:pPr>
        <w:spacing w:after="160"/>
      </w:pPr>
      <w:r>
        <w:rPr>
          <w:rFonts w:ascii="Arial" w:hAnsi="Arial"/>
        </w:rPr>
        <w:t xml:space="preserve">Another objection comes from anonymity cases. </w:t>
      </w:r>
      <w:r>
        <w:rPr>
          <w:rFonts w:ascii="Arial" w:hAnsi="Arial"/>
          <w:i/>
        </w:rPr>
        <w:t>McIntyre</w:t>
      </w:r>
      <w:r>
        <w:rPr>
          <w:rFonts w:ascii="Arial" w:hAnsi="Arial"/>
        </w:rPr>
        <w:t xml:space="preserve"> held that an author's decision to remain anonymous is protected by the First Amendment; </w:t>
      </w:r>
      <w:r>
        <w:rPr>
          <w:rFonts w:ascii="Arial" w:hAnsi="Arial"/>
          <w:i/>
        </w:rPr>
        <w:t>Talley</w:t>
      </w:r>
      <w:r>
        <w:rPr>
          <w:rFonts w:ascii="Arial" w:hAnsi="Arial"/>
        </w:rPr>
        <w:t xml:space="preserve"> struck an ordinance requiring </w:t>
      </w:r>
      <w:r>
        <w:rPr>
          <w:rFonts w:ascii="Arial" w:hAnsi="Arial"/>
        </w:rPr>
        <w:lastRenderedPageBreak/>
        <w:t>handbills to name their authors.</w:t>
      </w:r>
      <w:r>
        <w:rPr>
          <w:rFonts w:ascii="Arial" w:hAnsi="Arial"/>
          <w:vertAlign w:val="superscript"/>
        </w:rPr>
        <w:footnoteReference w:id="160"/>
      </w:r>
      <w:r>
        <w:rPr>
          <w:rFonts w:ascii="Arial" w:hAnsi="Arial"/>
        </w:rPr>
        <w:t xml:space="preserve"> If the Constitution protects the right not to sign your work, how can it permit a law about bylines? Because the right those cases protect is the right to withhold your identity, and the rules here touch it at only one point, answered above: the ghost's credit may be pseudonymous, so no one's identity is ever compelled. Anonymous works, pseudonymous works, and unsigned staff products remain fully lawful. What the rules target is the opposite act: not withholding your own name, but claiming, for pay, that another person's work is yours.</w:t>
      </w:r>
    </w:p>
    <w:p w14:paraId="07D82A9F" w14:textId="77777777" w:rsidR="00805402" w:rsidRDefault="00000000">
      <w:pPr>
        <w:spacing w:before="160" w:after="60"/>
      </w:pPr>
      <w:r>
        <w:rPr>
          <w:rFonts w:ascii="Arial" w:hAnsi="Arial"/>
          <w:b/>
          <w:i/>
        </w:rPr>
        <w:t>3. Prohibition</w:t>
      </w:r>
    </w:p>
    <w:p w14:paraId="0AE7B95B" w14:textId="77777777" w:rsidR="00805402" w:rsidRDefault="00000000">
      <w:pPr>
        <w:spacing w:after="160"/>
      </w:pPr>
      <w:r>
        <w:rPr>
          <w:rFonts w:ascii="Arial" w:hAnsi="Arial"/>
        </w:rPr>
        <w:t xml:space="preserve">Finally, consider a ban on ghost authorship. Here, the relevant case is </w:t>
      </w:r>
      <w:r>
        <w:rPr>
          <w:rFonts w:ascii="Arial" w:hAnsi="Arial"/>
          <w:i/>
        </w:rPr>
        <w:t>United States v. Alvarez</w:t>
      </w:r>
      <w:r>
        <w:rPr>
          <w:rFonts w:ascii="Arial" w:hAnsi="Arial"/>
        </w:rPr>
        <w:t xml:space="preserve">. Xavier </w:t>
      </w:r>
      <w:r>
        <w:rPr>
          <w:rFonts w:ascii="Arial" w:hAnsi="Arial"/>
          <w:i/>
        </w:rPr>
        <w:t>Alvarez</w:t>
      </w:r>
      <w:r>
        <w:rPr>
          <w:rFonts w:ascii="Arial" w:hAnsi="Arial"/>
        </w:rPr>
        <w:t xml:space="preserve"> lied about holding the Congressional Medal of Honor, and the Stolen Valor Act made the lie itself a crime. The plurality held that false statements are not automatically outside the First Amendment and that the government may not police falsity for its own sake; the remedy for most lies is counterspeech.</w:t>
      </w:r>
      <w:r>
        <w:rPr>
          <w:rFonts w:ascii="Arial" w:hAnsi="Arial"/>
          <w:vertAlign w:val="superscript"/>
        </w:rPr>
        <w:footnoteReference w:id="161"/>
      </w:r>
      <w:r>
        <w:rPr>
          <w:rFonts w:ascii="Arial" w:hAnsi="Arial"/>
        </w:rPr>
        <w:t xml:space="preserve"> But the plurality expressly preserved the traditional categories in which falsity is regulable: fraud, defamation, perjury, and false statements joined to material gain and legally cognizable harm.</w:t>
      </w:r>
      <w:r>
        <w:rPr>
          <w:rFonts w:ascii="Arial" w:hAnsi="Arial"/>
          <w:vertAlign w:val="superscript"/>
        </w:rPr>
        <w:footnoteReference w:id="162"/>
      </w:r>
      <w:r>
        <w:rPr>
          <w:rFonts w:ascii="Arial" w:hAnsi="Arial"/>
        </w:rPr>
        <w:t xml:space="preserve"> Justice Breyer, concurring in the judgment for two more votes, applied intermediate scrutiny and preserved the same categories, asking whether the statute targets real harm and leaves valuable speech unchilled.</w:t>
      </w:r>
      <w:r>
        <w:rPr>
          <w:rFonts w:ascii="Arial" w:hAnsi="Arial"/>
          <w:vertAlign w:val="superscript"/>
        </w:rPr>
        <w:footnoteReference w:id="163"/>
      </w:r>
      <w:r>
        <w:rPr>
          <w:rFonts w:ascii="Arial" w:hAnsi="Arial"/>
        </w:rPr>
        <w:t xml:space="preserve"> Because the plurality did not command a majority, the concurrence's intermediate scrutiny is the standard a careful legislature should design for, and the analysis here runs under both. </w:t>
      </w:r>
      <w:r>
        <w:rPr>
          <w:rFonts w:ascii="Arial" w:hAnsi="Arial"/>
          <w:i/>
        </w:rPr>
        <w:t>Alvarez</w:t>
      </w:r>
      <w:r>
        <w:rPr>
          <w:rFonts w:ascii="Arial" w:hAnsi="Arial"/>
        </w:rPr>
        <w:t xml:space="preserve">'s lie failed those tests from the government's side: no payment, no market, no identifiable victim. The paid false byline is the opposite case in each detail. There is a false statement of fact; there is payment for it; the payer takes a market advantage from it; and Parts III through V explained the harm. The deception of paying customers for material gain is the constitutionally comfortable core of the case; the discourse effects of Part V are the reason the problem matters, not the predicate a court needs. Congress has already legislated in exactly this shape: after </w:t>
      </w:r>
      <w:r>
        <w:rPr>
          <w:rFonts w:ascii="Arial" w:hAnsi="Arial"/>
          <w:i/>
        </w:rPr>
        <w:t>Alvarez</w:t>
      </w:r>
      <w:r>
        <w:rPr>
          <w:rFonts w:ascii="Arial" w:hAnsi="Arial"/>
        </w:rPr>
        <w:t>, it re-enacted the Stolen Valor Act limited to lies told to obtain money, property, or other tangible benefit, and the amended statute has not been successfully challenged. To be clear about the posture: the preserved categories appear in a plurality opinion, so a legislature here builds within a dictum shaped like fraud, and the statute should carry fraud's shape (falsity, knowledge, materiality, gain) rather than claim a settled safe harbor.</w:t>
      </w:r>
      <w:r>
        <w:rPr>
          <w:rFonts w:ascii="Arial" w:hAnsi="Arial"/>
          <w:vertAlign w:val="superscript"/>
        </w:rPr>
        <w:footnoteReference w:id="164"/>
      </w:r>
      <w:r>
        <w:rPr>
          <w:rFonts w:ascii="Arial" w:hAnsi="Arial"/>
        </w:rPr>
        <w:t xml:space="preserve"> And the plurality's preferred remedy, counterspeech, operates here only after the fact and only if an insider talks: the refutation is what the nondisclosure agreements suppress, and even once those agreements are unenforceable, the correction arrives years late while the byline does its work at publication.</w:t>
      </w:r>
    </w:p>
    <w:p w14:paraId="76BEA1BF" w14:textId="77777777" w:rsidR="00805402" w:rsidRDefault="00000000">
      <w:pPr>
        <w:spacing w:after="160"/>
      </w:pPr>
      <w:r>
        <w:rPr>
          <w:rFonts w:ascii="Arial" w:hAnsi="Arial"/>
        </w:rPr>
        <w:t xml:space="preserve">Now run the concurrence's proportionality directly, because the hardest question it asks is the Article's own: why not stop at the lower rungs? The answer is the ladder's geometry. Disclosure and attribution reach buyers, and reach the discourse only as fast as downstream nodes copy </w:t>
      </w:r>
      <w:r>
        <w:rPr>
          <w:rFonts w:ascii="Arial" w:hAnsi="Arial"/>
        </w:rPr>
        <w:lastRenderedPageBreak/>
        <w:t>the correction; only the prohibition stops the false signal before it enters circulation, and Part V showed the third population can be reached no other way. France ran the experiment of a strong private attribution right without contract-stage deterrence, and its ghost trade thrived. Choosing the top rung for the narrow expertise core is choosing the only rung that does that work, which is what narrow tailoring means when the alternatives are the legislature's own creations.</w:t>
      </w:r>
    </w:p>
    <w:p w14:paraId="0A50221A" w14:textId="77777777" w:rsidR="00805402" w:rsidRDefault="00000000">
      <w:pPr>
        <w:spacing w:after="160"/>
      </w:pPr>
      <w:r>
        <w:rPr>
          <w:rFonts w:ascii="Arial" w:hAnsi="Arial"/>
        </w:rPr>
        <w:t>There is also a firmer footing for half the rule: a statute voiding and penalizing contracts to purchase false attribution regulates a transaction, and speech proposing an unlawful transaction has no First Amendment shelter.</w:t>
      </w:r>
      <w:r>
        <w:rPr>
          <w:rFonts w:ascii="Arial" w:hAnsi="Arial"/>
          <w:vertAlign w:val="superscript"/>
        </w:rPr>
        <w:footnoteReference w:id="165"/>
      </w:r>
      <w:r>
        <w:rPr>
          <w:rFonts w:ascii="Arial" w:hAnsi="Arial"/>
          <w:vertAlign w:val="superscript"/>
        </w:rPr>
        <w:footnoteReference w:id="166"/>
      </w:r>
    </w:p>
    <w:p w14:paraId="3F38E4FC" w14:textId="77777777" w:rsidR="00805402" w:rsidRDefault="00000000">
      <w:pPr>
        <w:spacing w:after="160"/>
      </w:pPr>
      <w:r>
        <w:rPr>
          <w:rFonts w:ascii="Arial" w:hAnsi="Arial"/>
        </w:rPr>
        <w:t xml:space="preserve">One further question is whether a byline counts as commercial speech. The category matters because commercial speech receives less First Amendment protection than fully protected expression, so a commercial classification would make the ban easier to defend. The test comes from </w:t>
      </w:r>
      <w:r>
        <w:rPr>
          <w:rFonts w:ascii="Arial" w:hAnsi="Arial"/>
          <w:i/>
        </w:rPr>
        <w:t>Bolger</w:t>
      </w:r>
      <w:r>
        <w:rPr>
          <w:rFonts w:ascii="Arial" w:hAnsi="Arial"/>
        </w:rPr>
        <w:t>. Three features push speech toward the commercial category: it appears in an advertising format; it refers to a specific product; and the speaker has an economic motivation.</w:t>
      </w:r>
      <w:r>
        <w:rPr>
          <w:rFonts w:ascii="Arial" w:hAnsi="Arial"/>
          <w:vertAlign w:val="superscript"/>
        </w:rPr>
        <w:footnoteReference w:id="167"/>
      </w:r>
      <w:r>
        <w:rPr>
          <w:rFonts w:ascii="Arial" w:hAnsi="Arial"/>
        </w:rPr>
        <w:t xml:space="preserve"> Now apply the three features to a cover byline, one at a time. The byline refers to a specific product: the book it sits on. The author and publisher have an economic motivation for it: the name sells the book. But a book cover is not an advertising format in the ordinary sense. It is part of an expressive work, and the cases treat titles and title pages as part of the expression.</w:t>
      </w:r>
      <w:r>
        <w:rPr>
          <w:rFonts w:ascii="Arial" w:hAnsi="Arial"/>
          <w:vertAlign w:val="superscript"/>
        </w:rPr>
        <w:footnoteReference w:id="168"/>
      </w:r>
      <w:r>
        <w:rPr>
          <w:rFonts w:ascii="Arial" w:hAnsi="Arial"/>
        </w:rPr>
        <w:t xml:space="preserve"> But the same cases are relevant to the answer. </w:t>
      </w:r>
      <w:r>
        <w:rPr>
          <w:rFonts w:ascii="Arial" w:hAnsi="Arial"/>
          <w:i/>
        </w:rPr>
        <w:t>Rogers</w:t>
      </w:r>
      <w:r>
        <w:rPr>
          <w:rFonts w:ascii="Arial" w:hAnsi="Arial"/>
        </w:rPr>
        <w:t xml:space="preserve"> itself allows liability for titles that explicitly mislead about their source. And in </w:t>
      </w:r>
      <w:r>
        <w:rPr>
          <w:rFonts w:ascii="Arial" w:hAnsi="Arial"/>
          <w:i/>
        </w:rPr>
        <w:t>Jack Daniel's</w:t>
      </w:r>
      <w:r>
        <w:rPr>
          <w:rFonts w:ascii="Arial" w:hAnsi="Arial"/>
        </w:rPr>
        <w:t>, the Supreme Court held that the special protection for expressive works falls away when a mark is used to identify a source. On this Article's account, that is what a byline does.</w:t>
      </w:r>
      <w:r>
        <w:rPr>
          <w:rFonts w:ascii="Arial" w:hAnsi="Arial"/>
          <w:vertAlign w:val="superscript"/>
        </w:rPr>
        <w:footnoteReference w:id="169"/>
      </w:r>
      <w:r>
        <w:rPr>
          <w:rFonts w:ascii="Arial" w:hAnsi="Arial"/>
        </w:rPr>
        <w:t xml:space="preserve"> So the factors point in both directions, and the classification is genuinely uncertain.</w:t>
      </w:r>
    </w:p>
    <w:p w14:paraId="04B57177" w14:textId="77777777" w:rsidR="00805402" w:rsidRDefault="00000000">
      <w:pPr>
        <w:spacing w:after="160"/>
      </w:pPr>
      <w:r>
        <w:rPr>
          <w:rFonts w:ascii="Arial" w:hAnsi="Arial"/>
        </w:rPr>
        <w:t xml:space="preserve">The Article therefore does not rest the ban on it. The ban's object is a paid false statement of fact, and the </w:t>
      </w:r>
      <w:r>
        <w:rPr>
          <w:rFonts w:ascii="Arial" w:hAnsi="Arial"/>
          <w:i/>
        </w:rPr>
        <w:t>Alvarez</w:t>
      </w:r>
      <w:r>
        <w:rPr>
          <w:rFonts w:ascii="Arial" w:hAnsi="Arial"/>
        </w:rPr>
        <w:t xml:space="preserve"> categories are not limited to commercial speech: fraud is fraud whether or not the lie appears in an advertisement. Marketing is the easy half. Byline claims in advertising and promotion are ordinary product representations; the commercial-speech framework applies to them directly; and misleading commercial claims receive no First Amendment protection at all. The Court has gone further for identifiers specifically: </w:t>
      </w:r>
      <w:r>
        <w:rPr>
          <w:rFonts w:ascii="Arial" w:hAnsi="Arial"/>
          <w:i/>
        </w:rPr>
        <w:t>Friedman v. Rogers</w:t>
      </w:r>
      <w:r>
        <w:rPr>
          <w:rFonts w:ascii="Arial" w:hAnsi="Arial"/>
        </w:rPr>
        <w:t xml:space="preserve"> upheld an outright ban on practicing optometry under a trade name, because names that mislead about who stands behind a service may be forbidden.</w:t>
      </w:r>
      <w:r>
        <w:rPr>
          <w:rFonts w:ascii="Arial" w:hAnsi="Arial"/>
          <w:vertAlign w:val="superscript"/>
        </w:rPr>
        <w:footnoteReference w:id="170"/>
      </w:r>
      <w:r>
        <w:rPr>
          <w:rFonts w:ascii="Arial" w:hAnsi="Arial"/>
          <w:vertAlign w:val="superscript"/>
        </w:rPr>
        <w:footnoteReference w:id="171"/>
      </w:r>
      <w:r>
        <w:rPr>
          <w:rFonts w:ascii="Arial" w:hAnsi="Arial"/>
        </w:rPr>
        <w:t xml:space="preserve"> Nor does </w:t>
      </w:r>
      <w:r>
        <w:rPr>
          <w:rFonts w:ascii="Arial" w:hAnsi="Arial"/>
          <w:i/>
        </w:rPr>
        <w:t>Reed</w:t>
      </w:r>
      <w:r>
        <w:rPr>
          <w:rFonts w:ascii="Arial" w:hAnsi="Arial"/>
        </w:rPr>
        <w:t xml:space="preserve"> change the analysis. A false-statement rule is content-based in the trivial sense that every fraud statute is: one cannot identify a false claim of authorship without reading the byline. The traditional categories are </w:t>
      </w:r>
      <w:r>
        <w:rPr>
          <w:rFonts w:ascii="Arial" w:hAnsi="Arial"/>
        </w:rPr>
        <w:lastRenderedPageBreak/>
        <w:t>themselves defined by their content, and policing falsity inside them has never triggered strict scrutiny of its own force. Every idea in a ghosted book remains sayable and publishable under the rule; the ban simply removes the lie about authorship, and no viewpoint needs that lie.</w:t>
      </w:r>
      <w:r>
        <w:rPr>
          <w:rFonts w:ascii="Arial" w:hAnsi="Arial"/>
          <w:vertAlign w:val="superscript"/>
        </w:rPr>
        <w:footnoteReference w:id="172"/>
      </w:r>
    </w:p>
    <w:p w14:paraId="3FCE9482" w14:textId="77777777" w:rsidR="00805402" w:rsidRDefault="00000000">
      <w:pPr>
        <w:spacing w:before="160" w:after="60"/>
      </w:pPr>
      <w:r>
        <w:rPr>
          <w:rFonts w:ascii="Arial" w:hAnsi="Arial"/>
          <w:b/>
          <w:i/>
        </w:rPr>
        <w:t>4. Campaign Books</w:t>
      </w:r>
    </w:p>
    <w:p w14:paraId="7324147E" w14:textId="77777777" w:rsidR="00805402" w:rsidRDefault="00000000">
      <w:pPr>
        <w:spacing w:after="160"/>
      </w:pPr>
      <w:r>
        <w:rPr>
          <w:rFonts w:ascii="Arial" w:hAnsi="Arial"/>
        </w:rPr>
        <w:t xml:space="preserve">The campaign book should be treated differently. Courts applying </w:t>
      </w:r>
      <w:r>
        <w:rPr>
          <w:rFonts w:ascii="Arial" w:hAnsi="Arial"/>
          <w:i/>
        </w:rPr>
        <w:t>Alvarez</w:t>
      </w:r>
      <w:r>
        <w:rPr>
          <w:rFonts w:ascii="Arial" w:hAnsi="Arial"/>
        </w:rPr>
        <w:t xml:space="preserve"> have struck laws policing false statements in political campaigns: the Eighth Circuit invalidated Minnesota's false-campaign-speech statute, and the Sixth Circuit did the same for Ohio's, and their concern was not only message content but the machinery: complaint-driven, deadline-timed truth adjudication is an opposition-research weapon.</w:t>
      </w:r>
      <w:r>
        <w:rPr>
          <w:rFonts w:ascii="Arial" w:hAnsi="Arial"/>
          <w:vertAlign w:val="superscript"/>
        </w:rPr>
        <w:footnoteReference w:id="173"/>
      </w:r>
      <w:r>
        <w:rPr>
          <w:rFonts w:ascii="Arial" w:hAnsi="Arial"/>
        </w:rPr>
        <w:t xml:space="preserve"> For this reason, Part VIII.D carves campaign books out of the prohibition. Still, the attribution rule could govern these works. Disclaimer and disclosure requirements attached to core political speech are the one form of campaign regulation the Supreme Court routinely upholds, because source information aids the electorate without silencing anyone.</w:t>
      </w:r>
      <w:r>
        <w:rPr>
          <w:rFonts w:ascii="Arial" w:hAnsi="Arial"/>
          <w:vertAlign w:val="superscript"/>
        </w:rPr>
        <w:footnoteReference w:id="174"/>
      </w:r>
    </w:p>
    <w:p w14:paraId="4A331ABC" w14:textId="77777777" w:rsidR="00805402" w:rsidRDefault="00000000">
      <w:pPr>
        <w:spacing w:before="160" w:after="60"/>
      </w:pPr>
      <w:r>
        <w:rPr>
          <w:rFonts w:ascii="Arial" w:hAnsi="Arial"/>
          <w:b/>
          <w:i/>
        </w:rPr>
        <w:t>5. Work for Hire</w:t>
      </w:r>
    </w:p>
    <w:p w14:paraId="25958CF8" w14:textId="77777777" w:rsidR="00805402" w:rsidRDefault="00000000">
      <w:pPr>
        <w:spacing w:after="160"/>
      </w:pPr>
      <w:r>
        <w:rPr>
          <w:rFonts w:ascii="Arial" w:hAnsi="Arial"/>
        </w:rPr>
        <w:t>Finally, issues about work for hire in this context raise no serious First Amendment question. Adjusting who holds a federal ownership status sits within the traditional contours of copyright legislation, where the Court has twice declined to apply heightened scrutiny.</w:t>
      </w:r>
      <w:r>
        <w:rPr>
          <w:rFonts w:ascii="Arial" w:hAnsi="Arial"/>
          <w:vertAlign w:val="superscript"/>
        </w:rPr>
        <w:footnoteReference w:id="175"/>
      </w:r>
      <w:r>
        <w:rPr>
          <w:rFonts w:ascii="Arial" w:hAnsi="Arial"/>
        </w:rPr>
        <w:t xml:space="preserve"> Section 201(b) allocates a federal ownership status: it decides who owns the copyright in a commissioned work, and who counts as the author for the purposes of that ownership. Narrowing it changes the allocation. It does not restrict what anyone may write, publish, or say, and Congress has adjusted the boundaries of the status repeatedly over the doctrine's history.</w:t>
      </w:r>
      <w:r>
        <w:rPr>
          <w:rFonts w:ascii="Arial" w:hAnsi="Arial"/>
          <w:vertAlign w:val="superscript"/>
        </w:rPr>
        <w:footnoteReference w:id="176"/>
      </w:r>
    </w:p>
    <w:p w14:paraId="754DC46E" w14:textId="77777777" w:rsidR="00805402" w:rsidRDefault="00000000">
      <w:pPr>
        <w:spacing w:before="280" w:after="120"/>
      </w:pPr>
      <w:r>
        <w:rPr>
          <w:rFonts w:ascii="Arial" w:hAnsi="Arial"/>
          <w:b/>
          <w:sz w:val="26"/>
        </w:rPr>
        <w:t>IX. Conclusion</w:t>
      </w:r>
    </w:p>
    <w:p w14:paraId="4375B4F5" w14:textId="77777777" w:rsidR="00805402" w:rsidRDefault="00000000">
      <w:pPr>
        <w:spacing w:after="160"/>
      </w:pPr>
      <w:r>
        <w:rPr>
          <w:rFonts w:ascii="Arial" w:hAnsi="Arial"/>
        </w:rPr>
        <w:t>This Article has offered an economic analysis of what is wrong with ghost authorship: it weakens the authorship signal. The Article traced this problem across markets, considering demand-side, supply-side and third party effects. The authorship signal tells buyers what they are buying, tells the labor market who can write, and tells the public who stands behind which claims. Ghost authorship sells the signal, and the sale injures every population the market has: a market for lemons on the demand side, reputation erosion on the supply side, corrupted discourse everywhere else. The analysis required no premise beyond the standard economics of information.</w:t>
      </w:r>
    </w:p>
    <w:p w14:paraId="15AC04BB" w14:textId="77777777" w:rsidR="00805402" w:rsidRDefault="00000000">
      <w:pPr>
        <w:spacing w:after="160"/>
      </w:pPr>
      <w:r>
        <w:rPr>
          <w:rFonts w:ascii="Arial" w:hAnsi="Arial"/>
        </w:rPr>
        <w:t xml:space="preserve">The Article proposed straightforward remedies to these problems. Disclosure for the diligent buyer, at the point of sale. Attribution so the truth travels with the work: to the cover, the marketing, the review, the citation, and the record of who can write, all of which copy the byline automatically. And where bylines do epistemic work (the policy book, the expert credential, the </w:t>
      </w:r>
      <w:r>
        <w:rPr>
          <w:rFonts w:ascii="Arial" w:hAnsi="Arial"/>
        </w:rPr>
        <w:lastRenderedPageBreak/>
        <w:t>campaign manifesto): prohibition, publicly enforced, because the gap in the private law means no private party will ever sue.</w:t>
      </w:r>
    </w:p>
    <w:p w14:paraId="033E38BA" w14:textId="77777777" w:rsidR="00805402" w:rsidRDefault="00000000">
      <w:pPr>
        <w:spacing w:after="160"/>
      </w:pPr>
      <w:r>
        <w:rPr>
          <w:rFonts w:ascii="Arial" w:hAnsi="Arial"/>
        </w:rPr>
        <w:t>A New York court said everything essential in 1951, refusing to lend the law to Milton Berle's novel deal: "Public policy is the interest of others than the parties directly concerned in the contract."</w:t>
      </w:r>
      <w:r>
        <w:rPr>
          <w:rFonts w:ascii="Arial" w:hAnsi="Arial"/>
          <w:vertAlign w:val="superscript"/>
        </w:rPr>
        <w:footnoteReference w:id="177"/>
      </w:r>
    </w:p>
    <w:sectPr w:rsidR="0080540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FD8E43" w14:textId="77777777" w:rsidR="001F30CC" w:rsidRDefault="001F30CC">
      <w:pPr>
        <w:spacing w:after="0" w:line="240" w:lineRule="auto"/>
      </w:pPr>
      <w:r>
        <w:separator/>
      </w:r>
    </w:p>
  </w:endnote>
  <w:endnote w:type="continuationSeparator" w:id="0">
    <w:p w14:paraId="16CEF174" w14:textId="77777777" w:rsidR="001F30CC" w:rsidRDefault="001F3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3E697" w14:textId="77777777" w:rsidR="00805402" w:rsidRDefault="00000000">
    <w:pPr>
      <w:pStyle w:val="Footer"/>
      <w:jc w:val="center"/>
    </w:pPr>
    <w:r>
      <w:fldChar w:fldCharType="begin"/>
    </w:r>
    <w:r>
      <w:instrText>PAGE</w:instrText>
    </w:r>
    <w:r>
      <w:fldChar w:fldCharType="separate"/>
    </w:r>
    <w:r w:rsidR="00A137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71444E" w14:textId="77777777" w:rsidR="001F30CC" w:rsidRDefault="001F30CC">
      <w:pPr>
        <w:spacing w:after="0" w:line="240" w:lineRule="auto"/>
      </w:pPr>
      <w:r>
        <w:separator/>
      </w:r>
    </w:p>
  </w:footnote>
  <w:footnote w:type="continuationSeparator" w:id="0">
    <w:p w14:paraId="77465C6D" w14:textId="77777777" w:rsidR="001F30CC" w:rsidRDefault="001F30CC">
      <w:pPr>
        <w:spacing w:after="0" w:line="240" w:lineRule="auto"/>
      </w:pPr>
      <w:r>
        <w:continuationSeparator/>
      </w:r>
    </w:p>
  </w:footnote>
  <w:footnote w:id="1">
    <w:p w14:paraId="3F8444E7" w14:textId="77777777" w:rsidR="00805402" w:rsidRDefault="00000000">
      <w:pPr>
        <w:spacing w:after="60"/>
      </w:pPr>
      <w:r>
        <w:rPr>
          <w:rFonts w:ascii="Arial" w:hAnsi="Arial"/>
          <w:sz w:val="18"/>
          <w:vertAlign w:val="superscript"/>
        </w:rPr>
        <w:footnoteRef/>
      </w:r>
      <w:r>
        <w:rPr>
          <w:rFonts w:ascii="Arial" w:hAnsi="Arial"/>
          <w:sz w:val="18"/>
        </w:rPr>
        <w:t xml:space="preserve"> Jeffrey A. Trachtenberg, Prince Harry Book "Spare" Sells Over 1.4 </w:t>
      </w:r>
      <w:proofErr w:type="gramStart"/>
      <w:r>
        <w:rPr>
          <w:rFonts w:ascii="Arial" w:hAnsi="Arial"/>
          <w:sz w:val="18"/>
        </w:rPr>
        <w:t>Million</w:t>
      </w:r>
      <w:proofErr w:type="gramEnd"/>
      <w:r>
        <w:rPr>
          <w:rFonts w:ascii="Arial" w:hAnsi="Arial"/>
          <w:sz w:val="18"/>
        </w:rPr>
        <w:t xml:space="preserve"> Copies in U.S., U.K. and Canada on First Day, Wall St. J. (Jan. 11, 2023); Sanj Atwal, Prince Harry's Spare Becomes Fastest-Selling Non-Fiction Book Ever, Guinness World Records (Jan. 13, 2023); J.R. Moehringer, Notes from Prince Harry's Ghostwriter, New Yorker (May 15, 2023).</w:t>
      </w:r>
    </w:p>
  </w:footnote>
  <w:footnote w:id="2">
    <w:p w14:paraId="50542EAE" w14:textId="77777777" w:rsidR="00805402" w:rsidRDefault="00000000">
      <w:pPr>
        <w:spacing w:after="60"/>
      </w:pPr>
      <w:r>
        <w:rPr>
          <w:rFonts w:ascii="Arial" w:hAnsi="Arial"/>
          <w:sz w:val="18"/>
          <w:vertAlign w:val="superscript"/>
        </w:rPr>
        <w:footnoteRef/>
      </w:r>
      <w:r>
        <w:rPr>
          <w:rFonts w:ascii="Arial" w:hAnsi="Arial"/>
          <w:sz w:val="18"/>
        </w:rPr>
        <w:t xml:space="preserve"> The Pulitzer Prizes, John F. Kennedy, https://www.pulitzer.org/winners/john-f-kennedy (1957 prize in Biography); Ted Sorensen, Counselor: A Life at the Edge of History 146 (2008) ("I did a first draft of most chapters, which he revised both with a pen and through dictation."); id. at 151 (asking whether the author is "the person who did much of the research and helped choose the words in many of its sentences" or "the person who decided the substance, structure, and theme of the book"); see also Paul Farhi, Who Wrote That Political Memoir? No, Who Actually Wrote It?, Wash. Post (June 9, 2014) (quoting Sorensen: he "did a first draft of most chapters" and "helped choose the words of many of its sentences").</w:t>
      </w:r>
    </w:p>
  </w:footnote>
  <w:footnote w:id="3">
    <w:p w14:paraId="488F9E1B" w14:textId="77777777" w:rsidR="00805402" w:rsidRDefault="00000000">
      <w:pPr>
        <w:spacing w:after="60"/>
      </w:pPr>
      <w:r>
        <w:rPr>
          <w:rFonts w:ascii="Arial" w:hAnsi="Arial"/>
          <w:sz w:val="18"/>
          <w:vertAlign w:val="superscript"/>
        </w:rPr>
        <w:footnoteRef/>
      </w:r>
      <w:r>
        <w:rPr>
          <w:rFonts w:ascii="Arial" w:hAnsi="Arial"/>
          <w:sz w:val="18"/>
        </w:rPr>
        <w:t xml:space="preserve"> See Anne VanderMey, It's a Great Time to Be a Ghostwriter, Fortune (Dec. 5, 2015) (quoting the founder of a ghostwriting agency: "The expectation is that if you're going to be a thought leader . . . you need to have a book"; reporting agents' estimates that more than half of nonfiction titles by well-known figures were not fully written by them); Sophia Stewart, Ghostwriting Conference Returns to New York City This Fall, Publishers Wkly. (Mar. 5, 2025).</w:t>
      </w:r>
    </w:p>
  </w:footnote>
  <w:footnote w:id="4">
    <w:p w14:paraId="48B143EE" w14:textId="77777777" w:rsidR="00805402" w:rsidRDefault="00000000">
      <w:pPr>
        <w:spacing w:after="60"/>
      </w:pPr>
      <w:r>
        <w:rPr>
          <w:rFonts w:ascii="Arial" w:hAnsi="Arial"/>
          <w:sz w:val="18"/>
          <w:vertAlign w:val="superscript"/>
        </w:rPr>
        <w:footnoteRef/>
      </w:r>
      <w:r>
        <w:rPr>
          <w:rFonts w:ascii="Arial" w:hAnsi="Arial"/>
          <w:sz w:val="18"/>
        </w:rPr>
        <w:t xml:space="preserve"> Greg Lastowka, The Trademark Function of Authorship, 85 B.U. L. Rev. 1171, 1225-27 (2005).</w:t>
      </w:r>
    </w:p>
  </w:footnote>
  <w:footnote w:id="5">
    <w:p w14:paraId="5387DE4C"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 v. Berle</w:t>
      </w:r>
      <w:r>
        <w:rPr>
          <w:rFonts w:ascii="Arial" w:hAnsi="Arial"/>
          <w:sz w:val="18"/>
        </w:rPr>
        <w:t>, 202 Misc. 261, 108 N.Y.S.2d 597, 598 (Sup. Ct. 1951) (the facts).</w:t>
      </w:r>
    </w:p>
  </w:footnote>
  <w:footnote w:id="6">
    <w:p w14:paraId="1E67E579" w14:textId="77777777" w:rsidR="00805402" w:rsidRDefault="00000000">
      <w:pPr>
        <w:spacing w:after="60"/>
      </w:pPr>
      <w:r>
        <w:rPr>
          <w:rFonts w:ascii="Arial" w:hAnsi="Arial"/>
          <w:sz w:val="18"/>
          <w:vertAlign w:val="superscript"/>
        </w:rPr>
        <w:footnoteRef/>
      </w:r>
      <w:r>
        <w:rPr>
          <w:rFonts w:ascii="Arial" w:hAnsi="Arial"/>
          <w:sz w:val="18"/>
        </w:rPr>
        <w:t xml:space="preserve"> See Jane Friedman, I Would Rather See My Books Get Pirated Than This, JaneFriedman.com (Aug. 7, 2023) (AI-generated books sold on Amazon under her name); Ramishah Maruf, An Author Says AI Is "Writing" Unauthorized Books Being Sold Under Her Name on Amazon, CNN Business (Aug. 10, 2023); Authors Guild, AI Is Driving a New Surge of Sham "Books" on Amazon (2023).</w:t>
      </w:r>
    </w:p>
  </w:footnote>
  <w:footnote w:id="7">
    <w:p w14:paraId="12DB20F6" w14:textId="77777777" w:rsidR="00805402" w:rsidRDefault="00000000">
      <w:pPr>
        <w:spacing w:after="60"/>
      </w:pPr>
      <w:r>
        <w:rPr>
          <w:rFonts w:ascii="Arial" w:hAnsi="Arial"/>
          <w:sz w:val="18"/>
          <w:vertAlign w:val="superscript"/>
        </w:rPr>
        <w:footnoteRef/>
      </w:r>
      <w:r>
        <w:rPr>
          <w:rFonts w:ascii="Arial" w:hAnsi="Arial"/>
          <w:sz w:val="18"/>
        </w:rPr>
        <w:t xml:space="preserve"> 17 U.S.C. § 201(b).</w:t>
      </w:r>
    </w:p>
  </w:footnote>
  <w:footnote w:id="8">
    <w:p w14:paraId="7B8C343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Dastar Corp. v. Twentieth Century Fox Film Corp.</w:t>
      </w:r>
      <w:r>
        <w:rPr>
          <w:rFonts w:ascii="Arial" w:hAnsi="Arial"/>
          <w:sz w:val="18"/>
        </w:rPr>
        <w:t>, 539 U.S. 23, 31-32, 37 (2003).</w:t>
      </w:r>
    </w:p>
  </w:footnote>
  <w:footnote w:id="9">
    <w:p w14:paraId="4CBBFA52" w14:textId="77777777" w:rsidR="00805402" w:rsidRDefault="00000000">
      <w:pPr>
        <w:spacing w:after="60"/>
      </w:pPr>
      <w:r>
        <w:rPr>
          <w:rFonts w:ascii="Arial" w:hAnsi="Arial"/>
          <w:sz w:val="18"/>
          <w:vertAlign w:val="superscript"/>
        </w:rPr>
        <w:footnoteRef/>
      </w:r>
      <w:r>
        <w:rPr>
          <w:rFonts w:ascii="Arial" w:hAnsi="Arial"/>
          <w:sz w:val="18"/>
        </w:rPr>
        <w:t xml:space="preserve"> Gabrielle Emanuel, So You Need a Celebrity Book. Who Ya Gonna Call? Ghostwriters, NPR (Apr. 12, 2014) (quoting literary agent Madeleine Morel's estimate that "at least 60 percent" of nonfiction bestsellers are ghostwritten); Teena Lyons, Thousands of Celebrity Memoirs Are Published Each Year, The Ghost Writers Agency (2023) (a trade agency putting the celebrity-book figure "in the ninety percent bracket"); Joseph S. Wislar et al., Honorary and Ghost Authorship in High Impact Biomedical Journals: A Cross Sectional Survey, 343 BMJ d6128 (2011) (7.9 percent of articles across types in six leading medical journals in 2008, with 95 percent confidence interval 6.0 to 10.3).</w:t>
      </w:r>
    </w:p>
  </w:footnote>
  <w:footnote w:id="10">
    <w:p w14:paraId="627EFB9F" w14:textId="77777777" w:rsidR="00805402" w:rsidRDefault="00000000">
      <w:pPr>
        <w:spacing w:after="60"/>
      </w:pPr>
      <w:r>
        <w:rPr>
          <w:rFonts w:ascii="Arial" w:hAnsi="Arial"/>
          <w:sz w:val="18"/>
          <w:vertAlign w:val="superscript"/>
        </w:rPr>
        <w:footnoteRef/>
      </w:r>
      <w:r>
        <w:rPr>
          <w:rFonts w:ascii="Arial" w:hAnsi="Arial"/>
          <w:sz w:val="18"/>
        </w:rPr>
        <w:t xml:space="preserve"> On the NDA norm, see Rachel Deahl, Ghostwriters Come Out of the Shadows, Publishers Wkly. (Nov. 12, 2021) (reporting that nondisclosure-style agreements are standard parts of ghostwriting contracts); Association of Ghostwriters, Ghostwriter Business Bundle (marketing an attorney-reviewed nondisclosure template to members).</w:t>
      </w:r>
    </w:p>
  </w:footnote>
  <w:footnote w:id="11">
    <w:p w14:paraId="3C87E8D1" w14:textId="77777777" w:rsidR="00805402" w:rsidRDefault="00000000">
      <w:pPr>
        <w:spacing w:after="60"/>
      </w:pPr>
      <w:r>
        <w:rPr>
          <w:rFonts w:ascii="Arial" w:hAnsi="Arial"/>
          <w:sz w:val="18"/>
          <w:vertAlign w:val="superscript"/>
        </w:rPr>
        <w:footnoteRef/>
      </w:r>
      <w:r>
        <w:rPr>
          <w:rFonts w:ascii="Arial" w:hAnsi="Arial"/>
          <w:sz w:val="18"/>
        </w:rPr>
        <w:t xml:space="preserve"> The Supreme Court itself has said that the purchaser of a communicative work cares "not merely, if at all," about the identity of the physical producer, but "primarily" about "the identity of the creator of the story it conveys." </w:t>
      </w:r>
      <w:r>
        <w:rPr>
          <w:rFonts w:ascii="Arial" w:hAnsi="Arial"/>
          <w:i/>
          <w:sz w:val="18"/>
        </w:rPr>
        <w:t>Dastar</w:t>
      </w:r>
      <w:r>
        <w:rPr>
          <w:rFonts w:ascii="Arial" w:hAnsi="Arial"/>
          <w:sz w:val="18"/>
        </w:rPr>
        <w:t>, supra note 9, at 33.</w:t>
      </w:r>
    </w:p>
  </w:footnote>
  <w:footnote w:id="12">
    <w:p w14:paraId="44FB5C89" w14:textId="77777777" w:rsidR="00805402" w:rsidRDefault="00000000">
      <w:pPr>
        <w:spacing w:after="60"/>
      </w:pPr>
      <w:r>
        <w:rPr>
          <w:rFonts w:ascii="Arial" w:hAnsi="Arial"/>
          <w:sz w:val="18"/>
          <w:vertAlign w:val="superscript"/>
        </w:rPr>
        <w:footnoteRef/>
      </w:r>
      <w:r>
        <w:rPr>
          <w:rFonts w:ascii="Arial" w:hAnsi="Arial"/>
          <w:sz w:val="18"/>
        </w:rPr>
        <w:t xml:space="preserve"> Catherine L. Fisk, Credit Where It's Due: The Law and Norms of Attribution, 95 Geo. L.J. 49, 49 (2006).</w:t>
      </w:r>
    </w:p>
  </w:footnote>
  <w:footnote w:id="13">
    <w:p w14:paraId="7A19DFF6"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1221-33 (deception); Simon Stern &amp; Trudo Lemmens, Legal Remedies for Medical Ghostwriting: Imposing Fraud Liability on Guest Authors of Ghostwritten Articles, 8 PLoS Med. e1001070 (2011) (fraud).</w:t>
      </w:r>
    </w:p>
  </w:footnote>
  <w:footnote w:id="14">
    <w:p w14:paraId="4DB1EBA9" w14:textId="77777777" w:rsidR="00805402" w:rsidRDefault="00000000">
      <w:pPr>
        <w:spacing w:after="60"/>
      </w:pPr>
      <w:r>
        <w:rPr>
          <w:rFonts w:ascii="Arial" w:hAnsi="Arial"/>
          <w:sz w:val="18"/>
          <w:vertAlign w:val="superscript"/>
        </w:rPr>
        <w:footnoteRef/>
      </w:r>
      <w:r>
        <w:rPr>
          <w:rFonts w:ascii="Arial" w:hAnsi="Arial"/>
          <w:sz w:val="18"/>
        </w:rPr>
        <w:t xml:space="preserve"> Copyright Registration Guidance: Works Containing Material Generated by Artificial Intelligence, 88 Fed. Reg. 16,190, 16,192-93 (Mar. 16, 2023); U.S. Copyright Office, Copyright and Artificial Intelligence, Part 2: Copyrightability (Jan. 2025); for a state example, see Utah Code Ann. § 13-77-103 (2025) (enacted 2024 as the Artificial Intelligence Policy Act and recodified 2025).</w:t>
      </w:r>
    </w:p>
  </w:footnote>
  <w:footnote w:id="15">
    <w:p w14:paraId="3DAA7FA5" w14:textId="77777777" w:rsidR="00805402" w:rsidRDefault="00000000">
      <w:pPr>
        <w:spacing w:after="60"/>
      </w:pPr>
      <w:r>
        <w:rPr>
          <w:rFonts w:ascii="Arial" w:hAnsi="Arial"/>
          <w:sz w:val="18"/>
          <w:vertAlign w:val="superscript"/>
        </w:rPr>
        <w:footnoteRef/>
      </w:r>
      <w:r>
        <w:rPr>
          <w:rFonts w:ascii="Arial" w:hAnsi="Arial"/>
          <w:sz w:val="18"/>
        </w:rPr>
        <w:t xml:space="preserve"> 17 U.S.C. § 201(b); see also 17 U.S.C. § 101 (defining the categories of commissioned works eligible for work-for-hire treatment).</w:t>
      </w:r>
    </w:p>
  </w:footnote>
  <w:footnote w:id="16">
    <w:p w14:paraId="50EFC132"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Dastar</w:t>
      </w:r>
      <w:r>
        <w:rPr>
          <w:rFonts w:ascii="Arial" w:hAnsi="Arial"/>
          <w:sz w:val="18"/>
        </w:rPr>
        <w:t>, supra note 9, at 31-32, 37.</w:t>
      </w:r>
    </w:p>
  </w:footnote>
  <w:footnote w:id="17">
    <w:p w14:paraId="18D3765B" w14:textId="77777777" w:rsidR="00805402" w:rsidRDefault="00000000">
      <w:pPr>
        <w:spacing w:after="60"/>
      </w:pPr>
      <w:r>
        <w:rPr>
          <w:rFonts w:ascii="Arial" w:hAnsi="Arial"/>
          <w:sz w:val="18"/>
          <w:vertAlign w:val="superscript"/>
        </w:rPr>
        <w:footnoteRef/>
      </w:r>
      <w:r>
        <w:rPr>
          <w:rFonts w:ascii="Arial" w:hAnsi="Arial"/>
          <w:sz w:val="18"/>
        </w:rPr>
        <w:t xml:space="preserve"> Christopher Jon Sprigman, Christopher Buccafusco &amp; Zachary Burns, What's a Name Worth?: Experimental Tests of the Value of Attribution in Intellectual Property, 93 B.U. L. Rev. 1389, 1404-05 n.58 (2013) (quoting trade guidance: "the fee decreases" when the ghost is credited); on the NDA norm, see Deahl, supra note 11.</w:t>
      </w:r>
    </w:p>
  </w:footnote>
  <w:footnote w:id="18">
    <w:p w14:paraId="037036B6" w14:textId="77777777" w:rsidR="00805402" w:rsidRDefault="00000000">
      <w:pPr>
        <w:spacing w:after="60"/>
      </w:pPr>
      <w:r>
        <w:rPr>
          <w:rFonts w:ascii="Arial" w:hAnsi="Arial"/>
          <w:sz w:val="18"/>
          <w:vertAlign w:val="superscript"/>
        </w:rPr>
        <w:footnoteRef/>
      </w:r>
      <w:r>
        <w:rPr>
          <w:rFonts w:ascii="Arial" w:hAnsi="Arial"/>
          <w:sz w:val="18"/>
        </w:rPr>
        <w:t xml:space="preserve"> See VanderMey, supra note 4.</w:t>
      </w:r>
    </w:p>
  </w:footnote>
  <w:footnote w:id="19">
    <w:p w14:paraId="02EF99B2"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1225-27.</w:t>
      </w:r>
    </w:p>
  </w:footnote>
  <w:footnote w:id="20">
    <w:p w14:paraId="3CE7F045" w14:textId="77777777" w:rsidR="00805402" w:rsidRDefault="00000000">
      <w:pPr>
        <w:spacing w:after="60"/>
      </w:pPr>
      <w:r>
        <w:rPr>
          <w:rFonts w:ascii="Arial" w:hAnsi="Arial"/>
          <w:sz w:val="18"/>
          <w:vertAlign w:val="superscript"/>
        </w:rPr>
        <w:footnoteRef/>
      </w:r>
      <w:r>
        <w:rPr>
          <w:rFonts w:ascii="Arial" w:hAnsi="Arial"/>
          <w:sz w:val="18"/>
        </w:rPr>
        <w:t xml:space="preserve"> See John Seabrook, The Song Machine: Inside the Hit Factory (2015) (documenting writing camps, splits, and credit practice in commercial songwriting).</w:t>
      </w:r>
    </w:p>
  </w:footnote>
  <w:footnote w:id="21">
    <w:p w14:paraId="28F96029" w14:textId="77777777" w:rsidR="00805402" w:rsidRDefault="00000000">
      <w:pPr>
        <w:spacing w:after="60"/>
      </w:pPr>
      <w:r>
        <w:rPr>
          <w:rFonts w:ascii="Arial" w:hAnsi="Arial"/>
          <w:sz w:val="18"/>
          <w:vertAlign w:val="superscript"/>
        </w:rPr>
        <w:footnoteRef/>
      </w:r>
      <w:r>
        <w:rPr>
          <w:rFonts w:ascii="Arial" w:hAnsi="Arial"/>
          <w:sz w:val="18"/>
        </w:rPr>
        <w:t xml:space="preserve"> Wislar et al., supra note 10; Deanna Minasi, Note, Confronting the Ghost: Legal Strategies to Oust Medical Ghostwriters, 86 Fordham L. Rev. 299, 310-11 (2017).</w:t>
      </w:r>
    </w:p>
  </w:footnote>
  <w:footnote w:id="22">
    <w:p w14:paraId="01EACE41" w14:textId="77777777" w:rsidR="00805402" w:rsidRDefault="00000000">
      <w:pPr>
        <w:spacing w:after="60"/>
      </w:pPr>
      <w:r>
        <w:rPr>
          <w:rFonts w:ascii="Arial" w:hAnsi="Arial"/>
          <w:sz w:val="18"/>
          <w:vertAlign w:val="superscript"/>
        </w:rPr>
        <w:footnoteRef/>
      </w:r>
      <w:r>
        <w:rPr>
          <w:rFonts w:ascii="Arial" w:hAnsi="Arial"/>
          <w:sz w:val="18"/>
        </w:rPr>
        <w:t xml:space="preserve"> Jacob Noti-Victor, Regulating Hidden AI Authorship, 111 Va. L. Rev. 139, 153-54 (2025) (surveying the label studies).</w:t>
      </w:r>
    </w:p>
  </w:footnote>
  <w:footnote w:id="23">
    <w:p w14:paraId="27F7406C"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154-63; Copyright Registration Guidance, supra note 15; U.S. Copyright Office, Copyrightability Report, supra note 15.</w:t>
      </w:r>
    </w:p>
  </w:footnote>
  <w:footnote w:id="24">
    <w:p w14:paraId="536F3A8A" w14:textId="77777777" w:rsidR="00805402" w:rsidRDefault="00000000">
      <w:pPr>
        <w:spacing w:after="60"/>
      </w:pPr>
      <w:r>
        <w:rPr>
          <w:rFonts w:ascii="Arial" w:hAnsi="Arial"/>
          <w:sz w:val="18"/>
          <w:vertAlign w:val="superscript"/>
        </w:rPr>
        <w:footnoteRef/>
      </w:r>
      <w:r>
        <w:rPr>
          <w:rFonts w:ascii="Arial" w:hAnsi="Arial"/>
          <w:sz w:val="18"/>
        </w:rPr>
        <w:t xml:space="preserve"> Sprigman, Buccafusco &amp; Burns, supra note 18, at 1413.</w:t>
      </w:r>
    </w:p>
  </w:footnote>
  <w:footnote w:id="25">
    <w:p w14:paraId="6D259FAA" w14:textId="77777777" w:rsidR="00805402" w:rsidRDefault="00000000">
      <w:pPr>
        <w:spacing w:after="60"/>
      </w:pPr>
      <w:r>
        <w:rPr>
          <w:rFonts w:ascii="Arial" w:hAnsi="Arial"/>
          <w:sz w:val="18"/>
          <w:vertAlign w:val="superscript"/>
        </w:rPr>
        <w:footnoteRef/>
      </w:r>
      <w:r>
        <w:rPr>
          <w:rFonts w:ascii="Arial" w:hAnsi="Arial"/>
          <w:sz w:val="18"/>
        </w:rPr>
        <w:t xml:space="preserve"> Jane C. Ginsburg, The Right to Claim Authorship in U.S. Copyright and Trademarks Law, 41 Hous. L. Rev. 263, 287, 305 (2004); Fisk, supra note 13, at 111-12.</w:t>
      </w:r>
    </w:p>
  </w:footnote>
  <w:footnote w:id="26">
    <w:p w14:paraId="576B2D4D" w14:textId="77777777" w:rsidR="00805402" w:rsidRDefault="00000000">
      <w:pPr>
        <w:spacing w:after="60"/>
      </w:pPr>
      <w:r>
        <w:rPr>
          <w:rFonts w:ascii="Arial" w:hAnsi="Arial"/>
          <w:sz w:val="18"/>
          <w:vertAlign w:val="superscript"/>
        </w:rPr>
        <w:footnoteRef/>
      </w:r>
      <w:r>
        <w:rPr>
          <w:rFonts w:ascii="Arial" w:hAnsi="Arial"/>
          <w:sz w:val="18"/>
        </w:rPr>
        <w:t xml:space="preserve"> Henry Hansmann &amp; Marina Santilli, Authors' and Artists' Moral Rights: A Comparative Legal and Economic Analysis, 26 J. Legal Stud. 95 (1997).</w:t>
      </w:r>
    </w:p>
  </w:footnote>
  <w:footnote w:id="27">
    <w:p w14:paraId="45B5B611"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1240 ("largely unchecked").</w:t>
      </w:r>
    </w:p>
  </w:footnote>
  <w:footnote w:id="28">
    <w:p w14:paraId="671694DF" w14:textId="77777777" w:rsidR="00805402" w:rsidRDefault="00000000">
      <w:pPr>
        <w:spacing w:after="60"/>
      </w:pPr>
      <w:r>
        <w:rPr>
          <w:rFonts w:ascii="Arial" w:hAnsi="Arial"/>
          <w:sz w:val="18"/>
          <w:vertAlign w:val="superscript"/>
        </w:rPr>
        <w:footnoteRef/>
      </w:r>
      <w:r>
        <w:rPr>
          <w:rFonts w:ascii="Arial" w:hAnsi="Arial"/>
          <w:sz w:val="18"/>
        </w:rPr>
        <w:t xml:space="preserve"> Stern &amp; Lemmens, supra note 14; Minasi, supra note 22, at 318-23.</w:t>
      </w:r>
    </w:p>
  </w:footnote>
  <w:footnote w:id="29">
    <w:p w14:paraId="685A2206" w14:textId="77777777" w:rsidR="00805402" w:rsidRDefault="00000000">
      <w:pPr>
        <w:spacing w:after="60"/>
      </w:pPr>
      <w:r>
        <w:rPr>
          <w:rFonts w:ascii="Arial" w:hAnsi="Arial"/>
          <w:sz w:val="18"/>
          <w:vertAlign w:val="superscript"/>
        </w:rPr>
        <w:footnoteRef/>
      </w:r>
      <w:r>
        <w:rPr>
          <w:rFonts w:ascii="Arial" w:hAnsi="Arial"/>
          <w:sz w:val="18"/>
        </w:rPr>
        <w:t xml:space="preserve"> Stern &amp; Lemmens, supra note 14 (proposing subscription-price damages while describing patient-level and litigation-level harms).</w:t>
      </w:r>
    </w:p>
  </w:footnote>
  <w:footnote w:id="30">
    <w:p w14:paraId="64D83969"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supra note 6, at 599 ("a fraud and deception upon the public"; "public policy is the interest of others than the parties directly concerned in the contract").</w:t>
      </w:r>
    </w:p>
  </w:footnote>
  <w:footnote w:id="31">
    <w:p w14:paraId="561F6D4D" w14:textId="77777777" w:rsidR="00805402" w:rsidRDefault="00000000">
      <w:pPr>
        <w:spacing w:after="60"/>
      </w:pPr>
      <w:r>
        <w:rPr>
          <w:rFonts w:ascii="Arial" w:hAnsi="Arial"/>
          <w:sz w:val="18"/>
          <w:vertAlign w:val="superscript"/>
        </w:rPr>
        <w:footnoteRef/>
      </w:r>
      <w:r>
        <w:rPr>
          <w:rFonts w:ascii="Arial" w:hAnsi="Arial"/>
          <w:sz w:val="18"/>
        </w:rPr>
        <w:t xml:space="preserve"> Phillip Nelson, Information and Consumer Behavior, 78 J. Pol. Econ. 311 (1970) (introducing the category).</w:t>
      </w:r>
    </w:p>
  </w:footnote>
  <w:footnote w:id="32">
    <w:p w14:paraId="0EB0FBFE" w14:textId="77777777" w:rsidR="00805402" w:rsidRDefault="00000000">
      <w:pPr>
        <w:spacing w:after="60"/>
      </w:pPr>
      <w:r>
        <w:rPr>
          <w:rFonts w:ascii="Arial" w:hAnsi="Arial"/>
          <w:sz w:val="18"/>
          <w:vertAlign w:val="superscript"/>
        </w:rPr>
        <w:footnoteRef/>
      </w:r>
      <w:r>
        <w:rPr>
          <w:rFonts w:ascii="Arial" w:hAnsi="Arial"/>
          <w:sz w:val="18"/>
        </w:rPr>
        <w:t xml:space="preserve"> Michael R. Darby &amp; Edi Karni, Free Competition and the Optimal Amount of Fraud, 16 J.L. &amp; Econ. 67 (1973) (coining the term); Uwe Dulleck &amp; Rudolf Kerschbamer, On Doctors, Mechanics, and Computer Specialists: The Economics of Credence Goods, 44 J. Econ. Literature 5 (2006).</w:t>
      </w:r>
    </w:p>
  </w:footnote>
  <w:footnote w:id="33">
    <w:p w14:paraId="36BFEAA8"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1193-94; Alan T. Sorensen, Bestseller Lists and Product Variety, 55 J. Indus. Econ. 715, 730-31 (2007).</w:t>
      </w:r>
    </w:p>
  </w:footnote>
  <w:footnote w:id="34">
    <w:p w14:paraId="7B9A0F63" w14:textId="77777777" w:rsidR="00805402" w:rsidRDefault="00000000">
      <w:pPr>
        <w:spacing w:after="60"/>
      </w:pPr>
      <w:r>
        <w:rPr>
          <w:rFonts w:ascii="Arial" w:hAnsi="Arial"/>
          <w:sz w:val="18"/>
          <w:vertAlign w:val="superscript"/>
        </w:rPr>
        <w:footnoteRef/>
      </w:r>
      <w:r>
        <w:rPr>
          <w:rFonts w:ascii="Arial" w:hAnsi="Arial"/>
          <w:sz w:val="18"/>
        </w:rPr>
        <w:t xml:space="preserve"> Fisk, supra note 13, at 49.</w:t>
      </w:r>
    </w:p>
  </w:footnote>
  <w:footnote w:id="35">
    <w:p w14:paraId="604D396E" w14:textId="77777777" w:rsidR="00805402" w:rsidRDefault="00000000">
      <w:pPr>
        <w:spacing w:after="60"/>
      </w:pPr>
      <w:r>
        <w:rPr>
          <w:rFonts w:ascii="Arial" w:hAnsi="Arial"/>
          <w:sz w:val="18"/>
          <w:vertAlign w:val="superscript"/>
        </w:rPr>
        <w:footnoteRef/>
      </w:r>
      <w:r>
        <w:rPr>
          <w:rFonts w:ascii="Arial" w:hAnsi="Arial"/>
          <w:sz w:val="18"/>
        </w:rPr>
        <w:t xml:space="preserve"> William M. Landes &amp; Richard A. Posner, The Economic Structure of Intellectual Property Law, 37-42 (2003).</w:t>
      </w:r>
    </w:p>
  </w:footnote>
  <w:footnote w:id="36">
    <w:p w14:paraId="0DA12388"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48.</w:t>
      </w:r>
    </w:p>
  </w:footnote>
  <w:footnote w:id="37">
    <w:p w14:paraId="79DCC177"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48; cf. Jeanne C. Fromer, Expressive Incentives in Intellectual Property, 98 Va. L. Rev. 1745, 1823-24 (2012) (framing credit-for-cash trades as a menu of incentive packages).</w:t>
      </w:r>
    </w:p>
  </w:footnote>
  <w:footnote w:id="38">
    <w:p w14:paraId="24F6E0C0" w14:textId="77777777" w:rsidR="00805402" w:rsidRDefault="00000000">
      <w:pPr>
        <w:spacing w:after="60"/>
      </w:pPr>
      <w:r>
        <w:rPr>
          <w:rFonts w:ascii="Arial" w:hAnsi="Arial"/>
          <w:sz w:val="18"/>
          <w:vertAlign w:val="superscript"/>
        </w:rPr>
        <w:footnoteRef/>
      </w:r>
      <w:r>
        <w:rPr>
          <w:rFonts w:ascii="Arial" w:hAnsi="Arial"/>
          <w:sz w:val="18"/>
        </w:rPr>
        <w:t xml:space="preserve"> Landes &amp; Posner, supra note 36, at 117.</w:t>
      </w:r>
    </w:p>
  </w:footnote>
  <w:footnote w:id="39">
    <w:p w14:paraId="2E18FC98" w14:textId="77777777" w:rsidR="00805402" w:rsidRDefault="00000000">
      <w:pPr>
        <w:spacing w:after="60"/>
      </w:pPr>
      <w:r>
        <w:rPr>
          <w:rFonts w:ascii="Arial" w:hAnsi="Arial"/>
          <w:sz w:val="18"/>
          <w:vertAlign w:val="superscript"/>
        </w:rPr>
        <w:footnoteRef/>
      </w:r>
      <w:r>
        <w:rPr>
          <w:rFonts w:ascii="Arial" w:hAnsi="Arial"/>
          <w:sz w:val="18"/>
        </w:rPr>
        <w:t xml:space="preserve"> Darby &amp; Karni, supra note 33; Dulleck &amp; Kerschbamer, supra note 33.</w:t>
      </w:r>
    </w:p>
  </w:footnote>
  <w:footnote w:id="40">
    <w:p w14:paraId="0F9F1AB4" w14:textId="77777777" w:rsidR="00805402" w:rsidRDefault="00000000">
      <w:pPr>
        <w:spacing w:after="60"/>
      </w:pPr>
      <w:r>
        <w:rPr>
          <w:rFonts w:ascii="Arial" w:hAnsi="Arial"/>
          <w:sz w:val="18"/>
          <w:vertAlign w:val="superscript"/>
        </w:rPr>
        <w:footnoteRef/>
      </w:r>
      <w:r>
        <w:rPr>
          <w:rFonts w:ascii="Arial" w:hAnsi="Arial"/>
          <w:sz w:val="18"/>
        </w:rPr>
        <w:t xml:space="preserve"> Joseph S. Ross, quoted in Minasi, supra note 22, at 311.</w:t>
      </w:r>
    </w:p>
  </w:footnote>
  <w:footnote w:id="41">
    <w:p w14:paraId="65D029CE"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1193-94.</w:t>
      </w:r>
    </w:p>
  </w:footnote>
  <w:footnote w:id="42">
    <w:p w14:paraId="7DE0A96F" w14:textId="77777777" w:rsidR="00805402" w:rsidRDefault="00000000">
      <w:pPr>
        <w:spacing w:after="60"/>
      </w:pPr>
      <w:r>
        <w:rPr>
          <w:rFonts w:ascii="Arial" w:hAnsi="Arial"/>
          <w:sz w:val="18"/>
          <w:vertAlign w:val="superscript"/>
        </w:rPr>
        <w:footnoteRef/>
      </w:r>
      <w:r>
        <w:rPr>
          <w:rFonts w:ascii="Arial" w:hAnsi="Arial"/>
          <w:sz w:val="18"/>
        </w:rPr>
        <w:t xml:space="preserve"> Sorensen, Bestseller Lists, supra note 34, at 730 ("[E]veryone knows that Grisham's newest novel will make the list, so there is no information shock when it first appears.").</w:t>
      </w:r>
    </w:p>
  </w:footnote>
  <w:footnote w:id="43">
    <w:p w14:paraId="2ED11337" w14:textId="77777777" w:rsidR="00805402" w:rsidRDefault="00000000">
      <w:pPr>
        <w:spacing w:after="60"/>
      </w:pPr>
      <w:r>
        <w:rPr>
          <w:rFonts w:ascii="Arial" w:hAnsi="Arial"/>
          <w:sz w:val="18"/>
          <w:vertAlign w:val="superscript"/>
        </w:rPr>
        <w:footnoteRef/>
      </w:r>
      <w:r>
        <w:rPr>
          <w:rFonts w:ascii="Arial" w:hAnsi="Arial"/>
          <w:sz w:val="18"/>
        </w:rPr>
        <w:t xml:space="preserve"> George A. Akerlof, The Market for "Lemons": Quality Uncertainty and the Market Mechanism, 84 Q.J. Econ. 488 (1970).</w:t>
      </w:r>
    </w:p>
  </w:footnote>
  <w:footnote w:id="44">
    <w:p w14:paraId="25DB039E" w14:textId="77777777" w:rsidR="00805402" w:rsidRDefault="00000000">
      <w:pPr>
        <w:spacing w:after="60"/>
      </w:pPr>
      <w:r>
        <w:rPr>
          <w:rFonts w:ascii="Arial" w:hAnsi="Arial"/>
          <w:sz w:val="18"/>
          <w:vertAlign w:val="superscript"/>
        </w:rPr>
        <w:footnoteRef/>
      </w:r>
      <w:r>
        <w:rPr>
          <w:rFonts w:ascii="Arial" w:hAnsi="Arial"/>
          <w:sz w:val="18"/>
        </w:rPr>
        <w:t xml:space="preserve"> The mechanism has a formal analogue in the economics of traded firm names: where transfers of a name are unobservable, no equilibrium confines good names to good hands, and clients update their expectations against every name. Steven Tadelis, What's in a Name? Reputation as a Tradeable Asset, 89 Am. Econ. Rev. 548, 550 (1999). Tadelis expressly draws no welfare conclusions, id. at 550, and his traders go on producing under the names they buy, id. at 554; the ghost case, where output permanently attaches to a non-producer, sits outside his model. See infra Part VI.</w:t>
      </w:r>
    </w:p>
  </w:footnote>
  <w:footnote w:id="45">
    <w:p w14:paraId="5E2687AF" w14:textId="77777777" w:rsidR="00805402" w:rsidRDefault="00000000">
      <w:pPr>
        <w:spacing w:after="60"/>
      </w:pPr>
      <w:r>
        <w:rPr>
          <w:rFonts w:ascii="Arial" w:hAnsi="Arial"/>
          <w:sz w:val="18"/>
          <w:vertAlign w:val="superscript"/>
        </w:rPr>
        <w:footnoteRef/>
      </w:r>
      <w:r>
        <w:rPr>
          <w:rFonts w:ascii="Arial" w:hAnsi="Arial"/>
          <w:sz w:val="18"/>
        </w:rPr>
        <w:t xml:space="preserve"> The unraveling logic originates with Sanford J. Grossman, The Informational Role of Warranties and Private Disclosure About Product Quality, 24 J.L. &amp; Econ. 461 (1981); Paul R. Milgrom, Good News and Bad News: Representation Theorems and Applications, 12 Bell J. Econ. 380 (1981). The disclosure literature's catalog of when voluntary unraveling fails reads like a description of this market: disclosure costs, inattentive consumers, and sellers who profit from ignorance. David Dranove &amp; Ginger Zhe Jin, Quality Disclosure and Certification: Theory and Practice, 48 J. Econ. Literature 935 (2010); see also Alan D. Mathios, The Importance of Nutrition Labeling and Health Claim Regulation on Product Choice: An Analysis of the Cooking Oils Market, 43 J.L. &amp; Econ. 651 (2000) (producers of high-fat products withheld nutrition information until mandatory labeling forced disclosure).</w:t>
      </w:r>
    </w:p>
  </w:footnote>
  <w:footnote w:id="46">
    <w:p w14:paraId="073022C3" w14:textId="77777777" w:rsidR="00805402" w:rsidRDefault="00000000">
      <w:pPr>
        <w:spacing w:after="60"/>
      </w:pPr>
      <w:r>
        <w:rPr>
          <w:rFonts w:ascii="Arial" w:hAnsi="Arial"/>
          <w:sz w:val="18"/>
          <w:vertAlign w:val="superscript"/>
        </w:rPr>
        <w:footnoteRef/>
      </w:r>
      <w:r>
        <w:rPr>
          <w:rFonts w:ascii="Arial" w:hAnsi="Arial"/>
          <w:sz w:val="18"/>
        </w:rPr>
        <w:t xml:space="preserve"> Rebecca Tushnet, Naming Rights: Attribution and Law, 2007 Utah L. Rev. 787, 812-13 (recounting both episodes).</w:t>
      </w:r>
    </w:p>
  </w:footnote>
  <w:footnote w:id="47">
    <w:p w14:paraId="5CB252AD" w14:textId="77777777" w:rsidR="00805402" w:rsidRDefault="00000000">
      <w:pPr>
        <w:spacing w:after="60"/>
      </w:pPr>
      <w:r>
        <w:rPr>
          <w:rFonts w:ascii="Arial" w:hAnsi="Arial"/>
          <w:sz w:val="18"/>
          <w:vertAlign w:val="superscript"/>
        </w:rPr>
        <w:footnoteRef/>
      </w:r>
      <w:r>
        <w:rPr>
          <w:rFonts w:ascii="Arial" w:hAnsi="Arial"/>
          <w:sz w:val="18"/>
        </w:rPr>
        <w:t xml:space="preserve"> See Julia Moskin, I Was a Cookbook Ghostwriter, N.Y. Times (Mar. 13, 2012); Erin Carlson, Gwyneth Paltrow, Rachael Ray Team Up to Battle Ghostwriter Allegations, Hollywood Rep. (Mar. 22, 2012).</w:t>
      </w:r>
    </w:p>
  </w:footnote>
  <w:footnote w:id="48">
    <w:p w14:paraId="401AADC2"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1225-27; see Tushnet, supra note 47, at 814 (arguing that the V.C. Andrews brand "is performing its intended function" for readers).</w:t>
      </w:r>
    </w:p>
  </w:footnote>
  <w:footnote w:id="49">
    <w:p w14:paraId="5A88CF6E" w14:textId="77777777" w:rsidR="00805402" w:rsidRDefault="00000000">
      <w:pPr>
        <w:spacing w:after="60"/>
      </w:pPr>
      <w:r>
        <w:rPr>
          <w:rFonts w:ascii="Arial" w:hAnsi="Arial"/>
          <w:sz w:val="18"/>
          <w:vertAlign w:val="superscript"/>
        </w:rPr>
        <w:footnoteRef/>
      </w:r>
      <w:r>
        <w:rPr>
          <w:rFonts w:ascii="Arial" w:hAnsi="Arial"/>
          <w:sz w:val="18"/>
        </w:rPr>
        <w:t xml:space="preserve"> See Kate Aurthur, The Ghost of V.C. Andrews, BuzzFeed (Jan. 16, 2014) (the concealment and 1991 revelation); Review of Robert Ludlum, The Tristan Betrayal, Publishers Wkly. (Oct. 28, 2003) (of the posthumous continuation: "Perhaps it's time to let the master rest in peace.").</w:t>
      </w:r>
    </w:p>
  </w:footnote>
  <w:footnote w:id="50">
    <w:p w14:paraId="4D8A94A3"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xml:space="preserve">, supra note 6, at 600 (distinguishing </w:t>
      </w:r>
      <w:r>
        <w:rPr>
          <w:rFonts w:ascii="Arial" w:hAnsi="Arial"/>
          <w:i/>
          <w:sz w:val="18"/>
        </w:rPr>
        <w:t>Clemens v. Belford</w:t>
      </w:r>
      <w:r>
        <w:rPr>
          <w:rFonts w:ascii="Arial" w:hAnsi="Arial"/>
          <w:sz w:val="18"/>
        </w:rPr>
        <w:t>, Clark &amp; Co., 14 F. 728, 729 (C.C.N.D. Ill. 1883)).</w:t>
      </w:r>
    </w:p>
  </w:footnote>
  <w:footnote w:id="51">
    <w:p w14:paraId="58751DB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supra note 6, at 598-99 (the facts).</w:t>
      </w:r>
    </w:p>
  </w:footnote>
  <w:footnote w:id="52">
    <w:p w14:paraId="2001A98F" w14:textId="77777777" w:rsidR="00805402" w:rsidRDefault="00000000">
      <w:pPr>
        <w:spacing w:after="60"/>
      </w:pPr>
      <w:r>
        <w:rPr>
          <w:rFonts w:ascii="Arial" w:hAnsi="Arial"/>
          <w:sz w:val="18"/>
          <w:vertAlign w:val="superscript"/>
        </w:rPr>
        <w:footnoteRef/>
      </w:r>
      <w:r>
        <w:rPr>
          <w:rFonts w:ascii="Arial" w:hAnsi="Arial"/>
          <w:sz w:val="18"/>
        </w:rPr>
        <w:t xml:space="preserve"> Tushnet, supra note 47, at 814 ("I am not advocating a ban on ghostwriting").</w:t>
      </w:r>
    </w:p>
  </w:footnote>
  <w:footnote w:id="53">
    <w:p w14:paraId="7AD28FA3"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1230.</w:t>
      </w:r>
    </w:p>
  </w:footnote>
  <w:footnote w:id="54">
    <w:p w14:paraId="7ADD655C"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153-54; Sophie Proksch et al., The Impact of Text Topic and Assumed Human vs. AI Authorship on Competence and Quality Assessment, 7 Frontiers in A.I., art. 1412710 (2024) (identical texts, label-only manipulation, large effects favoring the human label); Lucas Bellaiche et al., Humans versus AI: Whether and Why We Prefer Human-Created Compared to AI-Created Artwork, 8 Cognitive Rsch.: Principles &amp; Implications, art. 42 (2023) (the same pattern for visual art, including judged worth).</w:t>
      </w:r>
    </w:p>
  </w:footnote>
  <w:footnote w:id="55">
    <w:p w14:paraId="1A867216"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154-63; Copyright Registration Guidance, supra note 15; U.S. Copyright Office, Copyrightability Report, supra note 15.</w:t>
      </w:r>
    </w:p>
  </w:footnote>
  <w:footnote w:id="56">
    <w:p w14:paraId="32D36C9E"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183.</w:t>
      </w:r>
    </w:p>
  </w:footnote>
  <w:footnote w:id="57">
    <w:p w14:paraId="73FAACD5"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Dastar</w:t>
      </w:r>
      <w:r>
        <w:rPr>
          <w:rFonts w:ascii="Arial" w:hAnsi="Arial"/>
          <w:sz w:val="18"/>
        </w:rPr>
        <w:t>, supra note 9, at 33.</w:t>
      </w:r>
    </w:p>
  </w:footnote>
  <w:footnote w:id="58">
    <w:p w14:paraId="72C5537F"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153-54.</w:t>
      </w:r>
    </w:p>
  </w:footnote>
  <w:footnote w:id="59">
    <w:p w14:paraId="1721338A" w14:textId="77777777" w:rsidR="00805402" w:rsidRDefault="00000000">
      <w:pPr>
        <w:spacing w:after="60"/>
      </w:pPr>
      <w:r>
        <w:rPr>
          <w:rFonts w:ascii="Arial" w:hAnsi="Arial"/>
          <w:sz w:val="18"/>
          <w:vertAlign w:val="superscript"/>
        </w:rPr>
        <w:footnoteRef/>
      </w:r>
      <w:r>
        <w:rPr>
          <w:rFonts w:ascii="Arial" w:hAnsi="Arial"/>
          <w:sz w:val="18"/>
        </w:rPr>
        <w:t xml:space="preserve"> Sorensen, Bestseller Lists, supra note 34, at 730-31.</w:t>
      </w:r>
    </w:p>
  </w:footnote>
  <w:footnote w:id="60">
    <w:p w14:paraId="6FC2E71B"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730-31; Noti-Victor, supra note 23, at 153-54; Deahl, supra note 11.</w:t>
      </w:r>
    </w:p>
  </w:footnote>
  <w:footnote w:id="61">
    <w:p w14:paraId="2328FCEF" w14:textId="77777777" w:rsidR="00805402" w:rsidRDefault="00000000">
      <w:pPr>
        <w:spacing w:after="60"/>
      </w:pPr>
      <w:r>
        <w:rPr>
          <w:rFonts w:ascii="Arial" w:hAnsi="Arial"/>
          <w:sz w:val="18"/>
          <w:vertAlign w:val="superscript"/>
        </w:rPr>
        <w:footnoteRef/>
      </w:r>
      <w:r>
        <w:rPr>
          <w:rFonts w:ascii="Arial" w:hAnsi="Arial"/>
          <w:sz w:val="18"/>
        </w:rPr>
        <w:t xml:space="preserve"> Fisk, supra note 13, at 49.</w:t>
      </w:r>
    </w:p>
  </w:footnote>
  <w:footnote w:id="62">
    <w:p w14:paraId="767C158B"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49, 54.</w:t>
      </w:r>
    </w:p>
  </w:footnote>
  <w:footnote w:id="63">
    <w:p w14:paraId="11536298" w14:textId="77777777" w:rsidR="00805402" w:rsidRDefault="00000000">
      <w:pPr>
        <w:spacing w:after="60"/>
      </w:pPr>
      <w:r>
        <w:rPr>
          <w:rFonts w:ascii="Arial" w:hAnsi="Arial"/>
          <w:sz w:val="18"/>
          <w:vertAlign w:val="superscript"/>
        </w:rPr>
        <w:footnoteRef/>
      </w:r>
      <w:r>
        <w:rPr>
          <w:rFonts w:ascii="Arial" w:hAnsi="Arial"/>
          <w:sz w:val="18"/>
        </w:rPr>
        <w:t xml:space="preserve"> Prior v Sheldon (2000) 48 IPR 301, para. 87 (Austl.), quoted in Ginsburg, supra note 26, at 265 n.4.</w:t>
      </w:r>
    </w:p>
  </w:footnote>
  <w:footnote w:id="64">
    <w:p w14:paraId="46FA26AD" w14:textId="77777777" w:rsidR="00805402" w:rsidRDefault="00000000">
      <w:pPr>
        <w:spacing w:after="60"/>
      </w:pPr>
      <w:r>
        <w:rPr>
          <w:rFonts w:ascii="Arial" w:hAnsi="Arial"/>
          <w:sz w:val="18"/>
          <w:vertAlign w:val="superscript"/>
        </w:rPr>
        <w:footnoteRef/>
      </w:r>
      <w:r>
        <w:rPr>
          <w:rFonts w:ascii="Arial" w:hAnsi="Arial"/>
          <w:sz w:val="18"/>
        </w:rPr>
        <w:t xml:space="preserve"> See supra Part II.C; Landes &amp; Posner, supra note 36, at 48.</w:t>
      </w:r>
    </w:p>
  </w:footnote>
  <w:footnote w:id="65">
    <w:p w14:paraId="05AAA34D" w14:textId="77777777" w:rsidR="00805402" w:rsidRDefault="00000000">
      <w:pPr>
        <w:spacing w:after="60"/>
      </w:pPr>
      <w:r>
        <w:rPr>
          <w:rFonts w:ascii="Arial" w:hAnsi="Arial"/>
          <w:sz w:val="18"/>
          <w:vertAlign w:val="superscript"/>
        </w:rPr>
        <w:footnoteRef/>
      </w:r>
      <w:r>
        <w:rPr>
          <w:rFonts w:ascii="Arial" w:hAnsi="Arial"/>
          <w:sz w:val="18"/>
        </w:rPr>
        <w:t xml:space="preserve"> Sprigman, Buccafusco &amp; Burns, supra note 18, at 1413; id. at 1404-05 n.58 ("Acknowledgement in print is often considered part of the fee.").</w:t>
      </w:r>
    </w:p>
  </w:footnote>
  <w:footnote w:id="66">
    <w:p w14:paraId="7E477C63" w14:textId="77777777" w:rsidR="00805402" w:rsidRDefault="00000000">
      <w:pPr>
        <w:spacing w:after="60"/>
      </w:pPr>
      <w:r>
        <w:rPr>
          <w:rFonts w:ascii="Arial" w:hAnsi="Arial"/>
          <w:sz w:val="18"/>
          <w:vertAlign w:val="superscript"/>
        </w:rPr>
        <w:footnoteRef/>
      </w:r>
      <w:r>
        <w:rPr>
          <w:rFonts w:ascii="Arial" w:hAnsi="Arial"/>
          <w:sz w:val="18"/>
        </w:rPr>
        <w:t xml:space="preserve"> Stern &amp; Lemmens, supra note 14 ("borrow the names").</w:t>
      </w:r>
    </w:p>
  </w:footnote>
  <w:footnote w:id="67">
    <w:p w14:paraId="177BE3BE" w14:textId="77777777" w:rsidR="00805402" w:rsidRDefault="00000000">
      <w:pPr>
        <w:spacing w:after="60"/>
      </w:pPr>
      <w:r>
        <w:rPr>
          <w:rFonts w:ascii="Arial" w:hAnsi="Arial"/>
          <w:sz w:val="18"/>
          <w:vertAlign w:val="superscript"/>
        </w:rPr>
        <w:footnoteRef/>
      </w:r>
      <w:r>
        <w:rPr>
          <w:rFonts w:ascii="Arial" w:hAnsi="Arial"/>
          <w:sz w:val="18"/>
        </w:rPr>
        <w:t xml:space="preserve"> See supra Part II.B.</w:t>
      </w:r>
    </w:p>
  </w:footnote>
  <w:footnote w:id="68">
    <w:p w14:paraId="06DCBA95" w14:textId="77777777" w:rsidR="00805402" w:rsidRDefault="00000000">
      <w:pPr>
        <w:spacing w:after="60"/>
      </w:pPr>
      <w:r>
        <w:rPr>
          <w:rFonts w:ascii="Arial" w:hAnsi="Arial"/>
          <w:sz w:val="18"/>
          <w:vertAlign w:val="superscript"/>
        </w:rPr>
        <w:footnoteRef/>
      </w:r>
      <w:r>
        <w:rPr>
          <w:rFonts w:ascii="Arial" w:hAnsi="Arial"/>
          <w:sz w:val="18"/>
        </w:rPr>
        <w:t xml:space="preserve"> Fisk, supra note 13, at 103.</w:t>
      </w:r>
    </w:p>
  </w:footnote>
  <w:footnote w:id="69">
    <w:p w14:paraId="5CEE8F57" w14:textId="77777777" w:rsidR="00805402" w:rsidRDefault="00000000">
      <w:pPr>
        <w:spacing w:after="60"/>
      </w:pPr>
      <w:r>
        <w:rPr>
          <w:rFonts w:ascii="Arial" w:hAnsi="Arial"/>
          <w:sz w:val="18"/>
          <w:vertAlign w:val="superscript"/>
        </w:rPr>
        <w:footnoteRef/>
      </w:r>
      <w:r>
        <w:rPr>
          <w:rFonts w:ascii="Arial" w:hAnsi="Arial"/>
          <w:sz w:val="18"/>
        </w:rPr>
        <w:t xml:space="preserve"> Mario Biagioli, Ghosts, Brands, and Influencers: Emergent Trends in Scientific Authorship, 52 Soc. Stud. Sci. 463 (2022).</w:t>
      </w:r>
    </w:p>
  </w:footnote>
  <w:footnote w:id="70">
    <w:p w14:paraId="46FDD2B3" w14:textId="77777777" w:rsidR="00805402" w:rsidRDefault="00000000">
      <w:pPr>
        <w:spacing w:after="60"/>
      </w:pPr>
      <w:r>
        <w:rPr>
          <w:rFonts w:ascii="Arial" w:hAnsi="Arial"/>
          <w:sz w:val="18"/>
          <w:vertAlign w:val="superscript"/>
        </w:rPr>
        <w:footnoteRef/>
      </w:r>
      <w:r>
        <w:rPr>
          <w:rFonts w:ascii="Arial" w:hAnsi="Arial"/>
          <w:sz w:val="18"/>
        </w:rPr>
        <w:t xml:space="preserve"> Fisk, supra note 13, at 54.</w:t>
      </w:r>
    </w:p>
  </w:footnote>
  <w:footnote w:id="71">
    <w:p w14:paraId="1288EB8E" w14:textId="77777777" w:rsidR="00805402" w:rsidRDefault="00000000">
      <w:pPr>
        <w:spacing w:after="60"/>
      </w:pPr>
      <w:r>
        <w:rPr>
          <w:rFonts w:ascii="Arial" w:hAnsi="Arial"/>
          <w:sz w:val="18"/>
          <w:vertAlign w:val="superscript"/>
        </w:rPr>
        <w:footnoteRef/>
      </w:r>
      <w:r>
        <w:rPr>
          <w:rFonts w:ascii="Arial" w:hAnsi="Arial"/>
          <w:sz w:val="18"/>
        </w:rPr>
        <w:t xml:space="preserve"> Benjamin Klein &amp; Keith B. Leffler, The Role of Market Forces in Assuring Contractual Performance, 89 J. Pol. Econ. 615 (1981); Carl Shapiro, Premiums for High Quality Products as Returns to Reputations, 98 Q.J. Econ. 659 (1983).</w:t>
      </w:r>
    </w:p>
  </w:footnote>
  <w:footnote w:id="72">
    <w:p w14:paraId="29C167DA" w14:textId="77777777" w:rsidR="00805402" w:rsidRDefault="00000000">
      <w:pPr>
        <w:spacing w:after="60"/>
      </w:pPr>
      <w:r>
        <w:rPr>
          <w:rFonts w:ascii="Arial" w:hAnsi="Arial"/>
          <w:sz w:val="18"/>
          <w:vertAlign w:val="superscript"/>
        </w:rPr>
        <w:footnoteRef/>
      </w:r>
      <w:r>
        <w:rPr>
          <w:rFonts w:ascii="Arial" w:hAnsi="Arial"/>
          <w:sz w:val="18"/>
        </w:rPr>
        <w:t xml:space="preserve"> See infra Parts VI.B, VIII.C.</w:t>
      </w:r>
    </w:p>
  </w:footnote>
  <w:footnote w:id="73">
    <w:p w14:paraId="7BB9D1AF" w14:textId="77777777" w:rsidR="00805402" w:rsidRDefault="00000000">
      <w:pPr>
        <w:spacing w:after="60"/>
      </w:pPr>
      <w:r>
        <w:rPr>
          <w:rFonts w:ascii="Arial" w:hAnsi="Arial"/>
          <w:sz w:val="18"/>
          <w:vertAlign w:val="superscript"/>
        </w:rPr>
        <w:footnoteRef/>
      </w:r>
      <w:r>
        <w:rPr>
          <w:rFonts w:ascii="Arial" w:hAnsi="Arial"/>
          <w:sz w:val="18"/>
        </w:rPr>
        <w:t xml:space="preserve"> See infra Part VIII.B-C.</w:t>
      </w:r>
    </w:p>
  </w:footnote>
  <w:footnote w:id="74">
    <w:p w14:paraId="22AE2F52" w14:textId="77777777" w:rsidR="00805402" w:rsidRDefault="00000000">
      <w:pPr>
        <w:spacing w:after="60"/>
      </w:pPr>
      <w:r>
        <w:rPr>
          <w:rFonts w:ascii="Arial" w:hAnsi="Arial"/>
          <w:sz w:val="18"/>
          <w:vertAlign w:val="superscript"/>
        </w:rPr>
        <w:footnoteRef/>
      </w:r>
      <w:r>
        <w:rPr>
          <w:rFonts w:ascii="Arial" w:hAnsi="Arial"/>
          <w:sz w:val="18"/>
        </w:rPr>
        <w:t xml:space="preserve"> The classic economic treatment of costly signaling is A. Michael Spence, Job Market Signaling, 87 Q.J. Econ. 355 (1973).</w:t>
      </w:r>
    </w:p>
  </w:footnote>
  <w:footnote w:id="75">
    <w:p w14:paraId="0F5A234D" w14:textId="77777777" w:rsidR="00805402" w:rsidRDefault="00000000">
      <w:pPr>
        <w:spacing w:after="60"/>
      </w:pPr>
      <w:r>
        <w:rPr>
          <w:rFonts w:ascii="Arial" w:hAnsi="Arial"/>
          <w:sz w:val="18"/>
          <w:vertAlign w:val="superscript"/>
        </w:rPr>
        <w:footnoteRef/>
      </w:r>
      <w:r>
        <w:rPr>
          <w:rFonts w:ascii="Arial" w:hAnsi="Arial"/>
          <w:sz w:val="18"/>
        </w:rPr>
        <w:t xml:space="preserve"> Sprigman, Buccafusco &amp; Burns, supra note 18, at 1404-05 n.58; see infra Part VI.B.</w:t>
      </w:r>
    </w:p>
  </w:footnote>
  <w:footnote w:id="76">
    <w:p w14:paraId="1008F188" w14:textId="77777777" w:rsidR="00805402" w:rsidRDefault="00000000">
      <w:pPr>
        <w:spacing w:after="60"/>
      </w:pPr>
      <w:r>
        <w:rPr>
          <w:rFonts w:ascii="Arial" w:hAnsi="Arial"/>
          <w:sz w:val="18"/>
          <w:vertAlign w:val="superscript"/>
        </w:rPr>
        <w:footnoteRef/>
      </w:r>
      <w:r>
        <w:rPr>
          <w:rFonts w:ascii="Arial" w:hAnsi="Arial"/>
          <w:sz w:val="18"/>
        </w:rPr>
        <w:t xml:space="preserve"> Cf. Tushnet, supra note 47, at 812-13 (audience reliance on the storyteller's identity); see supra Part III.A.</w:t>
      </w:r>
    </w:p>
  </w:footnote>
  <w:footnote w:id="77">
    <w:p w14:paraId="4226967E" w14:textId="77777777" w:rsidR="00805402" w:rsidRDefault="00000000">
      <w:pPr>
        <w:spacing w:after="60"/>
      </w:pPr>
      <w:r>
        <w:rPr>
          <w:rFonts w:ascii="Arial" w:hAnsi="Arial"/>
          <w:sz w:val="18"/>
          <w:vertAlign w:val="superscript"/>
        </w:rPr>
        <w:footnoteRef/>
      </w:r>
      <w:r>
        <w:rPr>
          <w:rFonts w:ascii="Arial" w:hAnsi="Arial"/>
          <w:sz w:val="18"/>
        </w:rPr>
        <w:t xml:space="preserve"> Stern &amp; Lemmens, supra note 14 ("whether or not they read the article").</w:t>
      </w:r>
    </w:p>
  </w:footnote>
  <w:footnote w:id="78">
    <w:p w14:paraId="5D68406E" w14:textId="77777777" w:rsidR="00805402" w:rsidRDefault="00000000">
      <w:pPr>
        <w:spacing w:after="60"/>
      </w:pPr>
      <w:r>
        <w:rPr>
          <w:rFonts w:ascii="Arial" w:hAnsi="Arial"/>
          <w:sz w:val="18"/>
          <w:vertAlign w:val="superscript"/>
        </w:rPr>
        <w:footnoteRef/>
      </w:r>
      <w:r>
        <w:rPr>
          <w:rFonts w:ascii="Arial" w:hAnsi="Arial"/>
          <w:sz w:val="18"/>
        </w:rPr>
        <w:t xml:space="preserve"> Cf. Justin Hughes, American Moral Rights and Fixing the Dastar "Gap", 2007 Utah L. Rev. 659, 692-95 (arguing that misattribution claims survive Dastar under the false-advertising prong).</w:t>
      </w:r>
    </w:p>
  </w:footnote>
  <w:footnote w:id="79">
    <w:p w14:paraId="037CA1F1" w14:textId="77777777" w:rsidR="00805402" w:rsidRDefault="00000000">
      <w:pPr>
        <w:spacing w:after="60"/>
      </w:pPr>
      <w:r>
        <w:rPr>
          <w:rFonts w:ascii="Arial" w:hAnsi="Arial"/>
          <w:sz w:val="18"/>
          <w:vertAlign w:val="superscript"/>
        </w:rPr>
        <w:footnoteRef/>
      </w:r>
      <w:r>
        <w:rPr>
          <w:rFonts w:ascii="Arial" w:hAnsi="Arial"/>
          <w:sz w:val="18"/>
        </w:rPr>
        <w:t xml:space="preserve"> Sorensen, Counselor, supra note 3, at 146, 151.</w:t>
      </w:r>
    </w:p>
  </w:footnote>
  <w:footnote w:id="80">
    <w:p w14:paraId="5F5D5631" w14:textId="77777777" w:rsidR="00805402" w:rsidRDefault="00000000">
      <w:pPr>
        <w:spacing w:after="60"/>
      </w:pPr>
      <w:r>
        <w:rPr>
          <w:rFonts w:ascii="Arial" w:hAnsi="Arial"/>
          <w:sz w:val="18"/>
          <w:vertAlign w:val="superscript"/>
        </w:rPr>
        <w:footnoteRef/>
      </w:r>
      <w:r>
        <w:rPr>
          <w:rFonts w:ascii="Arial" w:hAnsi="Arial"/>
          <w:sz w:val="18"/>
        </w:rPr>
        <w:t xml:space="preserve"> Minasi, supra note 22, at 310-11; Adriane J. Fugh-Berman, The Haunting of Medical Journals: How Ghostwriting Sold "HRT", 7 PLoS Med. e1000335 (2010); Natasha Singer, Medical Papers by Ghostwriters Pushed Therapy, N.Y. Times (Aug. 5, 2009).</w:t>
      </w:r>
    </w:p>
  </w:footnote>
  <w:footnote w:id="81">
    <w:p w14:paraId="1AC0861F" w14:textId="77777777" w:rsidR="00805402" w:rsidRDefault="00000000">
      <w:pPr>
        <w:spacing w:after="60"/>
      </w:pPr>
      <w:r>
        <w:rPr>
          <w:rFonts w:ascii="Arial" w:hAnsi="Arial"/>
          <w:sz w:val="18"/>
          <w:vertAlign w:val="superscript"/>
        </w:rPr>
        <w:footnoteRef/>
      </w:r>
      <w:r>
        <w:rPr>
          <w:rFonts w:ascii="Arial" w:hAnsi="Arial"/>
          <w:sz w:val="18"/>
        </w:rPr>
        <w:t xml:space="preserve"> See VanderMey, supra note 4.</w:t>
      </w:r>
    </w:p>
  </w:footnote>
  <w:footnote w:id="82">
    <w:p w14:paraId="66E61173" w14:textId="77777777" w:rsidR="00805402" w:rsidRDefault="00000000">
      <w:pPr>
        <w:spacing w:after="60"/>
      </w:pPr>
      <w:r>
        <w:rPr>
          <w:rFonts w:ascii="Arial" w:hAnsi="Arial"/>
          <w:sz w:val="18"/>
          <w:vertAlign w:val="superscript"/>
        </w:rPr>
        <w:footnoteRef/>
      </w:r>
      <w:r>
        <w:rPr>
          <w:rFonts w:ascii="Arial" w:hAnsi="Arial"/>
          <w:sz w:val="18"/>
        </w:rPr>
        <w:t xml:space="preserve"> Minasi, supra note 22, at 310-11; see also id. at 300-01 (a 2014 survey in which nearly three quarters of physicians reported changing clinical practice based on reading medical research).</w:t>
      </w:r>
    </w:p>
  </w:footnote>
  <w:footnote w:id="83">
    <w:p w14:paraId="23385FD7" w14:textId="77777777" w:rsidR="00805402" w:rsidRDefault="00000000">
      <w:pPr>
        <w:spacing w:after="60"/>
      </w:pPr>
      <w:r>
        <w:rPr>
          <w:rFonts w:ascii="Arial" w:hAnsi="Arial"/>
          <w:sz w:val="18"/>
          <w:vertAlign w:val="superscript"/>
        </w:rPr>
        <w:footnoteRef/>
      </w:r>
      <w:r>
        <w:rPr>
          <w:rFonts w:ascii="Arial" w:hAnsi="Arial"/>
          <w:sz w:val="18"/>
        </w:rPr>
        <w:t xml:space="preserve"> Media slant is correctable when it attaches to identifiable sources readers can cross-check; concealed authorship removes the identifiability. Cf. Sendhil Mullainathan &amp; Andrei Shleifer, The Market for News, 95 Am. Econ. Rev. 1031 (2005) (their slant is demand-driven; the slant here is supplied by sponsors).</w:t>
      </w:r>
    </w:p>
  </w:footnote>
  <w:footnote w:id="84">
    <w:p w14:paraId="44C186A2" w14:textId="77777777" w:rsidR="00805402" w:rsidRDefault="00000000">
      <w:pPr>
        <w:spacing w:after="60"/>
      </w:pPr>
      <w:r>
        <w:rPr>
          <w:rFonts w:ascii="Arial" w:hAnsi="Arial"/>
          <w:sz w:val="18"/>
          <w:vertAlign w:val="superscript"/>
        </w:rPr>
        <w:footnoteRef/>
      </w:r>
      <w:r>
        <w:rPr>
          <w:rFonts w:ascii="Arial" w:hAnsi="Arial"/>
          <w:sz w:val="18"/>
        </w:rPr>
        <w:t xml:space="preserve"> See supra Parts III.B, IV.B.</w:t>
      </w:r>
    </w:p>
  </w:footnote>
  <w:footnote w:id="85">
    <w:p w14:paraId="4F56D249" w14:textId="77777777" w:rsidR="00805402" w:rsidRDefault="00000000">
      <w:pPr>
        <w:spacing w:after="60"/>
      </w:pPr>
      <w:r>
        <w:rPr>
          <w:rFonts w:ascii="Arial" w:hAnsi="Arial"/>
          <w:sz w:val="18"/>
          <w:vertAlign w:val="superscript"/>
        </w:rPr>
        <w:footnoteRef/>
      </w:r>
      <w:r>
        <w:rPr>
          <w:rFonts w:ascii="Arial" w:hAnsi="Arial"/>
          <w:sz w:val="18"/>
        </w:rPr>
        <w:t xml:space="preserve"> See infra Part VIII.</w:t>
      </w:r>
    </w:p>
  </w:footnote>
  <w:footnote w:id="86">
    <w:p w14:paraId="50CE27C4" w14:textId="77777777" w:rsidR="00805402" w:rsidRDefault="00000000">
      <w:pPr>
        <w:spacing w:after="60"/>
      </w:pPr>
      <w:r>
        <w:rPr>
          <w:rFonts w:ascii="Arial" w:hAnsi="Arial"/>
          <w:sz w:val="18"/>
          <w:vertAlign w:val="superscript"/>
        </w:rPr>
        <w:footnoteRef/>
      </w:r>
      <w:r>
        <w:rPr>
          <w:rFonts w:ascii="Arial" w:hAnsi="Arial"/>
          <w:sz w:val="18"/>
        </w:rPr>
        <w:t xml:space="preserve"> See supra notes 10 &amp; 11 and accompanying text.</w:t>
      </w:r>
    </w:p>
  </w:footnote>
  <w:footnote w:id="87">
    <w:p w14:paraId="0FD85D9A"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Estate of Andrews v. United States</w:t>
      </w:r>
      <w:r>
        <w:rPr>
          <w:rFonts w:ascii="Arial" w:hAnsi="Arial"/>
          <w:sz w:val="18"/>
        </w:rPr>
        <w:t>, 850 F. Supp. 1279, 1295 (E.D. Va. 1994) (valuing the name at $703,500); id. at 1285 (estate correspondence recording a roughly one-third royalty decline after the ghostwriting was publicized); Lastowka, supra note 5, at 1225-27.</w:t>
      </w:r>
    </w:p>
  </w:footnote>
  <w:footnote w:id="88">
    <w:p w14:paraId="7A8B96C9" w14:textId="77777777" w:rsidR="00805402" w:rsidRDefault="00000000">
      <w:pPr>
        <w:spacing w:after="60"/>
      </w:pPr>
      <w:r>
        <w:rPr>
          <w:rFonts w:ascii="Arial" w:hAnsi="Arial"/>
          <w:sz w:val="18"/>
          <w:vertAlign w:val="superscript"/>
        </w:rPr>
        <w:footnoteRef/>
      </w:r>
      <w:r>
        <w:rPr>
          <w:rFonts w:ascii="Arial" w:hAnsi="Arial"/>
          <w:sz w:val="18"/>
        </w:rPr>
        <w:t xml:space="preserve"> See A Million Little Lies: Exposing James Frey's Fiction Addiction, The Smoking Gun (Jan. 8, 2006); Judge Approves "A Million Little Pieces" Refund Settlement, Fox News (Nov. 3, 2007) (final approval of a class settlement authorizing reader refunds).</w:t>
      </w:r>
    </w:p>
  </w:footnote>
  <w:footnote w:id="89">
    <w:p w14:paraId="5824A5EA" w14:textId="77777777" w:rsidR="00805402" w:rsidRDefault="00000000">
      <w:pPr>
        <w:spacing w:after="60"/>
      </w:pPr>
      <w:r>
        <w:rPr>
          <w:rFonts w:ascii="Arial" w:hAnsi="Arial"/>
          <w:sz w:val="18"/>
          <w:vertAlign w:val="superscript"/>
        </w:rPr>
        <w:footnoteRef/>
      </w:r>
      <w:r>
        <w:rPr>
          <w:rFonts w:ascii="Arial" w:hAnsi="Arial"/>
          <w:sz w:val="18"/>
        </w:rPr>
        <w:t xml:space="preserve"> Sprigman, Buccafusco &amp; Burns, supra note 18, at 1413.</w:t>
      </w:r>
    </w:p>
  </w:footnote>
  <w:footnote w:id="90">
    <w:p w14:paraId="10FDD675"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153-54.</w:t>
      </w:r>
    </w:p>
  </w:footnote>
  <w:footnote w:id="91">
    <w:p w14:paraId="7518EED0" w14:textId="77777777" w:rsidR="00805402" w:rsidRDefault="00000000">
      <w:pPr>
        <w:spacing w:after="60"/>
      </w:pPr>
      <w:r>
        <w:rPr>
          <w:rFonts w:ascii="Arial" w:hAnsi="Arial"/>
          <w:sz w:val="18"/>
          <w:vertAlign w:val="superscript"/>
        </w:rPr>
        <w:footnoteRef/>
      </w:r>
      <w:r>
        <w:rPr>
          <w:rFonts w:ascii="Arial" w:hAnsi="Arial"/>
          <w:sz w:val="18"/>
        </w:rPr>
        <w:t xml:space="preserve"> See Deahl, supra note 11.</w:t>
      </w:r>
    </w:p>
  </w:footnote>
  <w:footnote w:id="92">
    <w:p w14:paraId="588E9720" w14:textId="77777777" w:rsidR="00805402" w:rsidRDefault="00000000">
      <w:pPr>
        <w:spacing w:after="60"/>
      </w:pPr>
      <w:r>
        <w:rPr>
          <w:rFonts w:ascii="Arial" w:hAnsi="Arial"/>
          <w:sz w:val="18"/>
          <w:vertAlign w:val="superscript"/>
        </w:rPr>
        <w:footnoteRef/>
      </w:r>
      <w:r>
        <w:rPr>
          <w:rFonts w:ascii="Arial" w:hAnsi="Arial"/>
          <w:sz w:val="18"/>
        </w:rPr>
        <w:t xml:space="preserve"> The observation is the Article's own; no major outlet's reviews flag ghostwriting as a matter of course. For reporting describing the practice as pervasive and rarely announced, see Who's Really Behind Your Favorite Celebrity Memoir?, WBUR Here &amp; Now (Sept. 21, 2022).</w:t>
      </w:r>
    </w:p>
  </w:footnote>
  <w:footnote w:id="93">
    <w:p w14:paraId="71488050" w14:textId="77777777" w:rsidR="00805402" w:rsidRDefault="00000000">
      <w:pPr>
        <w:spacing w:after="60"/>
      </w:pPr>
      <w:r>
        <w:rPr>
          <w:rFonts w:ascii="Arial" w:hAnsi="Arial"/>
          <w:sz w:val="18"/>
          <w:vertAlign w:val="superscript"/>
        </w:rPr>
        <w:footnoteRef/>
      </w:r>
      <w:r>
        <w:rPr>
          <w:rFonts w:ascii="Arial" w:hAnsi="Arial"/>
          <w:sz w:val="18"/>
        </w:rPr>
        <w:t xml:space="preserve"> Robert C. Ellickson, Order Without Law: How Neighbors Settle Disputes (1991) (close-knit groups with repeat play enforce norms informally); see also Dotan Oliar &amp; Christopher Sprigman, There's No Free Laugh (Anymore): The Emergence of Intellectual Property Norms and the Transformation of Stand-Up Comedy, 94 Va. L. Rev. 1787, 1828 (2008).</w:t>
      </w:r>
    </w:p>
  </w:footnote>
  <w:footnote w:id="94">
    <w:p w14:paraId="056F672A" w14:textId="77777777" w:rsidR="00805402" w:rsidRDefault="00000000">
      <w:pPr>
        <w:spacing w:after="60"/>
      </w:pPr>
      <w:r>
        <w:rPr>
          <w:rFonts w:ascii="Arial" w:hAnsi="Arial"/>
          <w:sz w:val="18"/>
          <w:vertAlign w:val="superscript"/>
        </w:rPr>
        <w:footnoteRef/>
      </w:r>
      <w:r>
        <w:rPr>
          <w:rFonts w:ascii="Arial" w:hAnsi="Arial"/>
          <w:sz w:val="18"/>
        </w:rPr>
        <w:t xml:space="preserve"> Oliar &amp; Sprigman, supra note 94, at 1828 (quoting a comedian interviewed by the authors).</w:t>
      </w:r>
    </w:p>
  </w:footnote>
  <w:footnote w:id="95">
    <w:p w14:paraId="1DD57187" w14:textId="77777777" w:rsidR="00805402" w:rsidRDefault="00000000">
      <w:pPr>
        <w:spacing w:after="60"/>
      </w:pPr>
      <w:r>
        <w:rPr>
          <w:rFonts w:ascii="Arial" w:hAnsi="Arial"/>
          <w:sz w:val="18"/>
          <w:vertAlign w:val="superscript"/>
        </w:rPr>
        <w:footnoteRef/>
      </w:r>
      <w:r>
        <w:rPr>
          <w:rFonts w:ascii="Arial" w:hAnsi="Arial"/>
          <w:sz w:val="18"/>
        </w:rPr>
        <w:t xml:space="preserve"> Jona Goldschmidt, In Defense of Ghostwriting, 29 Fordham Urb. L.J. 1145 (2002). Posner's tolerance of ghostwriting runs on similar lines. See Richard A. Posner, The Little Book of Plagiarism 24 (2007) ("There are no victims. The ghostwriter is compensated, and since there is no expectation of originality the public is not fooled.").</w:t>
      </w:r>
    </w:p>
  </w:footnote>
  <w:footnote w:id="96">
    <w:p w14:paraId="20711585" w14:textId="77777777" w:rsidR="00805402" w:rsidRDefault="00000000">
      <w:pPr>
        <w:spacing w:after="60"/>
      </w:pPr>
      <w:r>
        <w:rPr>
          <w:rFonts w:ascii="Arial" w:hAnsi="Arial"/>
          <w:sz w:val="18"/>
          <w:vertAlign w:val="superscript"/>
        </w:rPr>
        <w:footnoteRef/>
      </w:r>
      <w:r>
        <w:rPr>
          <w:rFonts w:ascii="Arial" w:hAnsi="Arial"/>
          <w:sz w:val="18"/>
        </w:rPr>
        <w:t xml:space="preserve"> R. H. Coase, The Problem of Social Cost, 3 J.L. &amp; Econ. 1 (1960).</w:t>
      </w:r>
    </w:p>
  </w:footnote>
  <w:footnote w:id="97">
    <w:p w14:paraId="2D53621D" w14:textId="77777777" w:rsidR="00805402" w:rsidRDefault="00000000">
      <w:pPr>
        <w:spacing w:after="60"/>
      </w:pPr>
      <w:r>
        <w:rPr>
          <w:rFonts w:ascii="Arial" w:hAnsi="Arial"/>
          <w:sz w:val="18"/>
          <w:vertAlign w:val="superscript"/>
        </w:rPr>
        <w:footnoteRef/>
      </w:r>
      <w:r>
        <w:rPr>
          <w:rFonts w:ascii="Arial" w:hAnsi="Arial"/>
          <w:sz w:val="18"/>
        </w:rPr>
        <w:t xml:space="preserve"> See supra Part III.A.</w:t>
      </w:r>
    </w:p>
  </w:footnote>
  <w:footnote w:id="98">
    <w:p w14:paraId="72E7C15B" w14:textId="77777777" w:rsidR="00805402" w:rsidRDefault="00000000">
      <w:pPr>
        <w:spacing w:after="60"/>
      </w:pPr>
      <w:r>
        <w:rPr>
          <w:rFonts w:ascii="Arial" w:hAnsi="Arial"/>
          <w:sz w:val="18"/>
          <w:vertAlign w:val="superscript"/>
        </w:rPr>
        <w:footnoteRef/>
      </w:r>
      <w:r>
        <w:rPr>
          <w:rFonts w:ascii="Arial" w:hAnsi="Arial"/>
          <w:sz w:val="18"/>
        </w:rPr>
        <w:t xml:space="preserve"> See supra Part IV.B.</w:t>
      </w:r>
    </w:p>
  </w:footnote>
  <w:footnote w:id="99">
    <w:p w14:paraId="3FF1C38F" w14:textId="77777777" w:rsidR="00805402" w:rsidRDefault="00000000">
      <w:pPr>
        <w:spacing w:after="60"/>
      </w:pPr>
      <w:r>
        <w:rPr>
          <w:rFonts w:ascii="Arial" w:hAnsi="Arial"/>
          <w:sz w:val="18"/>
          <w:vertAlign w:val="superscript"/>
        </w:rPr>
        <w:footnoteRef/>
      </w:r>
      <w:r>
        <w:rPr>
          <w:rFonts w:ascii="Arial" w:hAnsi="Arial"/>
          <w:sz w:val="18"/>
        </w:rPr>
        <w:t xml:space="preserve"> See supra Part V.</w:t>
      </w:r>
    </w:p>
  </w:footnote>
  <w:footnote w:id="100">
    <w:p w14:paraId="38E81666" w14:textId="77777777" w:rsidR="00805402" w:rsidRDefault="00000000">
      <w:pPr>
        <w:spacing w:after="60"/>
      </w:pPr>
      <w:r>
        <w:rPr>
          <w:rFonts w:ascii="Arial" w:hAnsi="Arial"/>
          <w:sz w:val="18"/>
          <w:vertAlign w:val="superscript"/>
        </w:rPr>
        <w:footnoteRef/>
      </w:r>
      <w:r>
        <w:rPr>
          <w:rFonts w:ascii="Arial" w:hAnsi="Arial"/>
          <w:sz w:val="18"/>
        </w:rPr>
        <w:t xml:space="preserve"> Goldschmidt, supra note 96 (the conditions run through the case-law survey and recommendations).</w:t>
      </w:r>
    </w:p>
  </w:footnote>
  <w:footnote w:id="101">
    <w:p w14:paraId="3AB00B8A" w14:textId="77777777" w:rsidR="00805402" w:rsidRDefault="00000000">
      <w:pPr>
        <w:spacing w:after="60"/>
      </w:pPr>
      <w:r>
        <w:rPr>
          <w:rFonts w:ascii="Arial" w:hAnsi="Arial"/>
          <w:sz w:val="18"/>
          <w:vertAlign w:val="superscript"/>
        </w:rPr>
        <w:footnoteRef/>
      </w:r>
      <w:r>
        <w:rPr>
          <w:rFonts w:ascii="Arial" w:hAnsi="Arial"/>
          <w:sz w:val="18"/>
        </w:rPr>
        <w:t xml:space="preserve"> See infra Part VIII.E.</w:t>
      </w:r>
    </w:p>
  </w:footnote>
  <w:footnote w:id="102">
    <w:p w14:paraId="0EB787B9" w14:textId="77777777" w:rsidR="00805402" w:rsidRDefault="00000000">
      <w:pPr>
        <w:spacing w:after="60"/>
      </w:pPr>
      <w:r>
        <w:rPr>
          <w:rFonts w:ascii="Arial" w:hAnsi="Arial"/>
          <w:sz w:val="18"/>
          <w:vertAlign w:val="superscript"/>
        </w:rPr>
        <w:footnoteRef/>
      </w:r>
      <w:r>
        <w:rPr>
          <w:rFonts w:ascii="Arial" w:hAnsi="Arial"/>
          <w:sz w:val="18"/>
        </w:rPr>
        <w:t xml:space="preserve"> Sprigman, Buccafusco &amp; Burns, supra note 18, at 1404-05 n.58.</w:t>
      </w:r>
    </w:p>
  </w:footnote>
  <w:footnote w:id="103">
    <w:p w14:paraId="31DE8ED6" w14:textId="77777777" w:rsidR="00805402" w:rsidRDefault="00000000">
      <w:pPr>
        <w:spacing w:after="60"/>
      </w:pPr>
      <w:r>
        <w:rPr>
          <w:rFonts w:ascii="Arial" w:hAnsi="Arial"/>
          <w:sz w:val="18"/>
          <w:vertAlign w:val="superscript"/>
        </w:rPr>
        <w:footnoteRef/>
      </w:r>
      <w:r>
        <w:rPr>
          <w:rFonts w:ascii="Arial" w:hAnsi="Arial"/>
          <w:sz w:val="18"/>
        </w:rPr>
        <w:t xml:space="preserve"> Minasi, supra note 22, at 310-11; Sprigman, Buccafusco &amp; Burns, supra note 18, at 1404-05 n.58; Deahl, supra note 11.</w:t>
      </w:r>
    </w:p>
  </w:footnote>
  <w:footnote w:id="104">
    <w:p w14:paraId="421A7E49"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Childress v. Taylor</w:t>
      </w:r>
      <w:r>
        <w:rPr>
          <w:rFonts w:ascii="Arial" w:hAnsi="Arial"/>
          <w:sz w:val="18"/>
        </w:rPr>
        <w:t xml:space="preserve">, 945 F.2d 500, 507-09 (2d Cir. 1991); </w:t>
      </w:r>
      <w:r>
        <w:rPr>
          <w:rFonts w:ascii="Arial" w:hAnsi="Arial"/>
          <w:i/>
          <w:sz w:val="18"/>
        </w:rPr>
        <w:t>Thomson v. Larson</w:t>
      </w:r>
      <w:r>
        <w:rPr>
          <w:rFonts w:ascii="Arial" w:hAnsi="Arial"/>
          <w:sz w:val="18"/>
        </w:rPr>
        <w:t xml:space="preserve">, 147 F.3d 195, 200-05 (2d Cir. 1998); cf. </w:t>
      </w:r>
      <w:r>
        <w:rPr>
          <w:rFonts w:ascii="Arial" w:hAnsi="Arial"/>
          <w:i/>
          <w:sz w:val="18"/>
        </w:rPr>
        <w:t>Aalmuhammed v. Lee</w:t>
      </w:r>
      <w:r>
        <w:rPr>
          <w:rFonts w:ascii="Arial" w:hAnsi="Arial"/>
          <w:sz w:val="18"/>
        </w:rPr>
        <w:t>, 202 F.3d 1227, 1232-35 (9th Cir. 2000).</w:t>
      </w:r>
    </w:p>
  </w:footnote>
  <w:footnote w:id="105">
    <w:p w14:paraId="0D6B887F"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1230 (the substantial-authorial-contribution truth test).</w:t>
      </w:r>
    </w:p>
  </w:footnote>
  <w:footnote w:id="106">
    <w:p w14:paraId="716018AC" w14:textId="77777777" w:rsidR="00805402" w:rsidRDefault="00000000">
      <w:pPr>
        <w:spacing w:after="60"/>
      </w:pPr>
      <w:r>
        <w:rPr>
          <w:rFonts w:ascii="Arial" w:hAnsi="Arial"/>
          <w:sz w:val="18"/>
          <w:vertAlign w:val="superscript"/>
        </w:rPr>
        <w:footnoteRef/>
      </w:r>
      <w:r>
        <w:rPr>
          <w:rFonts w:ascii="Arial" w:hAnsi="Arial"/>
          <w:sz w:val="18"/>
        </w:rPr>
        <w:t xml:space="preserve"> Klein &amp; Leffler, supra note 72; Shapiro, supra note 72; Tadelis, supra note 45, at 550.</w:t>
      </w:r>
    </w:p>
  </w:footnote>
  <w:footnote w:id="107">
    <w:p w14:paraId="0E9F6298" w14:textId="77777777" w:rsidR="00805402" w:rsidRDefault="00000000">
      <w:pPr>
        <w:spacing w:after="60"/>
      </w:pPr>
      <w:r>
        <w:rPr>
          <w:rFonts w:ascii="Arial" w:hAnsi="Arial"/>
          <w:sz w:val="18"/>
          <w:vertAlign w:val="superscript"/>
        </w:rPr>
        <w:footnoteRef/>
      </w:r>
      <w:r>
        <w:rPr>
          <w:rFonts w:ascii="Arial" w:hAnsi="Arial"/>
          <w:sz w:val="18"/>
        </w:rPr>
        <w:t xml:space="preserve"> See supra Parts III.B, V.A; Minasi, supra note 22, at 310-11.</w:t>
      </w:r>
    </w:p>
  </w:footnote>
  <w:footnote w:id="108">
    <w:p w14:paraId="1396081C" w14:textId="77777777" w:rsidR="00805402" w:rsidRDefault="00000000">
      <w:pPr>
        <w:spacing w:after="60"/>
      </w:pPr>
      <w:r>
        <w:rPr>
          <w:rFonts w:ascii="Arial" w:hAnsi="Arial"/>
          <w:sz w:val="18"/>
          <w:vertAlign w:val="superscript"/>
        </w:rPr>
        <w:footnoteRef/>
      </w:r>
      <w:r>
        <w:rPr>
          <w:rFonts w:ascii="Arial" w:hAnsi="Arial"/>
          <w:sz w:val="18"/>
        </w:rPr>
        <w:t xml:space="preserve"> Laura A. Heymann, The Birth of the Authornym: Authorship, Pseudonymity, and Trademark Law, 80 Notre Dame L. Rev. 1377 (2005); Tushnet, supra note 47, at 814.</w:t>
      </w:r>
    </w:p>
  </w:footnote>
  <w:footnote w:id="109">
    <w:p w14:paraId="7DC1D80F"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Barcamerica Int'l USA Trust v. Tyfield Importers</w:t>
      </w:r>
      <w:r>
        <w:rPr>
          <w:rFonts w:ascii="Arial" w:hAnsi="Arial"/>
          <w:sz w:val="18"/>
        </w:rPr>
        <w:t>, Inc., 289 F.3d 589, 596-98 (9th Cir. 2002) (licensing without quality control abandons the mark).</w:t>
      </w:r>
    </w:p>
  </w:footnote>
  <w:footnote w:id="110">
    <w:p w14:paraId="108AB901" w14:textId="77777777" w:rsidR="00805402" w:rsidRDefault="00000000">
      <w:pPr>
        <w:spacing w:after="60"/>
      </w:pPr>
      <w:r>
        <w:rPr>
          <w:rFonts w:ascii="Arial" w:hAnsi="Arial"/>
          <w:sz w:val="18"/>
          <w:vertAlign w:val="superscript"/>
        </w:rPr>
        <w:footnoteRef/>
      </w:r>
      <w:r>
        <w:rPr>
          <w:rFonts w:ascii="Arial" w:hAnsi="Arial"/>
          <w:sz w:val="18"/>
        </w:rPr>
        <w:t xml:space="preserve"> See </w:t>
      </w:r>
      <w:r>
        <w:rPr>
          <w:rFonts w:ascii="Arial" w:hAnsi="Arial"/>
          <w:i/>
          <w:sz w:val="18"/>
        </w:rPr>
        <w:t>Gilliam v. American Broadcasting Cos.</w:t>
      </w:r>
      <w:r>
        <w:rPr>
          <w:rFonts w:ascii="Arial" w:hAnsi="Arial"/>
          <w:sz w:val="18"/>
        </w:rPr>
        <w:t xml:space="preserve">, 538 F.2d 14, 23-25 (2d Cir. 1976); </w:t>
      </w:r>
      <w:r>
        <w:rPr>
          <w:rFonts w:ascii="Arial" w:hAnsi="Arial"/>
          <w:i/>
          <w:sz w:val="18"/>
        </w:rPr>
        <w:t>Smith v. Montoro</w:t>
      </w:r>
      <w:r>
        <w:rPr>
          <w:rFonts w:ascii="Arial" w:hAnsi="Arial"/>
          <w:sz w:val="18"/>
        </w:rPr>
        <w:t>, 648 F.2d 602, 607 (9th Cir. 1981); Berne Convention for the Protection of Literary and Artistic Works art. 6bis, Sept. 9, 1886, as revised at Paris July 24, 1971, 1161 U.N.T.S. 3; H.R. Rep. No. 100-609, at 32-41 (1988) (finding that existing United States law satisfies Berne Convention article 6bis).</w:t>
      </w:r>
    </w:p>
  </w:footnote>
  <w:footnote w:id="111">
    <w:p w14:paraId="34E8111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Dastar</w:t>
      </w:r>
      <w:r>
        <w:rPr>
          <w:rFonts w:ascii="Arial" w:hAnsi="Arial"/>
          <w:sz w:val="18"/>
        </w:rPr>
        <w:t xml:space="preserve">, supra note 9, at 31-32, 37; see, e.g., </w:t>
      </w:r>
      <w:r>
        <w:rPr>
          <w:rFonts w:ascii="Arial" w:hAnsi="Arial"/>
          <w:i/>
          <w:sz w:val="18"/>
        </w:rPr>
        <w:t>Zyla v. Wadsworth</w:t>
      </w:r>
      <w:r>
        <w:rPr>
          <w:rFonts w:ascii="Arial" w:hAnsi="Arial"/>
          <w:sz w:val="18"/>
        </w:rPr>
        <w:t xml:space="preserve">, Div. of Thomson Corp., 360 F.3d 243, 250-52 (1st Cir. 2004); </w:t>
      </w:r>
      <w:r>
        <w:rPr>
          <w:rFonts w:ascii="Arial" w:hAnsi="Arial"/>
          <w:i/>
          <w:sz w:val="18"/>
        </w:rPr>
        <w:t>Antidote Int'l Films</w:t>
      </w:r>
      <w:r>
        <w:rPr>
          <w:rFonts w:ascii="Arial" w:hAnsi="Arial"/>
          <w:sz w:val="18"/>
        </w:rPr>
        <w:t xml:space="preserve">, Inc. v. Bloomsbury Publ'g, PLC, 467 F. Supp. 2d 394, 399-400 (S.D.N.Y. 2006) ("the holding of Dastar would be meaningless if a false authorship claim could be recast in this manner"). The opinion's administrability worries (the "search for the source of the Nile" passage, </w:t>
      </w:r>
      <w:r>
        <w:rPr>
          <w:rFonts w:ascii="Arial" w:hAnsi="Arial"/>
          <w:i/>
          <w:sz w:val="18"/>
        </w:rPr>
        <w:t>Dastar</w:t>
      </w:r>
      <w:r>
        <w:rPr>
          <w:rFonts w:ascii="Arial" w:hAnsi="Arial"/>
          <w:sz w:val="18"/>
        </w:rPr>
        <w:t>, supra note 9, at 35-36) are answered by the remedies in Part VIII, which require no allocation of creative credit among contributors: they police the false claim, not the deserved one.</w:t>
      </w:r>
    </w:p>
  </w:footnote>
  <w:footnote w:id="112">
    <w:p w14:paraId="45E45BE6" w14:textId="77777777" w:rsidR="00805402" w:rsidRDefault="00000000">
      <w:pPr>
        <w:spacing w:after="60"/>
      </w:pPr>
      <w:r>
        <w:rPr>
          <w:rFonts w:ascii="Arial" w:hAnsi="Arial"/>
          <w:sz w:val="18"/>
          <w:vertAlign w:val="superscript"/>
        </w:rPr>
        <w:footnoteRef/>
      </w:r>
      <w:r>
        <w:rPr>
          <w:rFonts w:ascii="Arial" w:hAnsi="Arial"/>
          <w:sz w:val="18"/>
        </w:rPr>
        <w:t xml:space="preserve"> The Smoking Gun, supra note 89; on preemption's limits for deception-based state claims, Mary LaFrance, When You Wish Upon Dastar: Creative Provenance and the Lanham Act, 23 Cardozo Arts &amp; Ent. L.J. 197 (2005).</w:t>
      </w:r>
    </w:p>
  </w:footnote>
  <w:footnote w:id="113">
    <w:p w14:paraId="64A65767" w14:textId="77777777" w:rsidR="00805402" w:rsidRDefault="00000000">
      <w:pPr>
        <w:spacing w:after="60"/>
      </w:pPr>
      <w:r>
        <w:rPr>
          <w:rFonts w:ascii="Arial" w:hAnsi="Arial"/>
          <w:sz w:val="18"/>
          <w:vertAlign w:val="superscript"/>
        </w:rPr>
        <w:footnoteRef/>
      </w:r>
      <w:r>
        <w:rPr>
          <w:rFonts w:ascii="Arial" w:hAnsi="Arial"/>
          <w:sz w:val="18"/>
        </w:rPr>
        <w:t xml:space="preserve"> Ginsburg, supra note 26, at 280.</w:t>
      </w:r>
    </w:p>
  </w:footnote>
  <w:footnote w:id="114">
    <w:p w14:paraId="5C73E3E2" w14:textId="77777777" w:rsidR="00805402" w:rsidRDefault="00000000">
      <w:pPr>
        <w:spacing w:after="60"/>
      </w:pPr>
      <w:r>
        <w:rPr>
          <w:rFonts w:ascii="Arial" w:hAnsi="Arial"/>
          <w:sz w:val="18"/>
          <w:vertAlign w:val="superscript"/>
        </w:rPr>
        <w:footnoteRef/>
      </w:r>
      <w:r>
        <w:rPr>
          <w:rFonts w:ascii="Arial" w:hAnsi="Arial"/>
          <w:sz w:val="18"/>
        </w:rPr>
        <w:t xml:space="preserve"> 17 U.S.C. § 1202(a), (c)(2); cf. </w:t>
      </w:r>
      <w:r>
        <w:rPr>
          <w:rFonts w:ascii="Arial" w:hAnsi="Arial"/>
          <w:i/>
          <w:sz w:val="18"/>
        </w:rPr>
        <w:t>Stevens v. CoreLogic</w:t>
      </w:r>
      <w:r>
        <w:rPr>
          <w:rFonts w:ascii="Arial" w:hAnsi="Arial"/>
          <w:sz w:val="18"/>
        </w:rPr>
        <w:t xml:space="preserve">, Inc., 899 F.3d 666, 673-76 (9th Cir. 2018) (the removal offense requires knowledge that the act will aid infringement); </w:t>
      </w:r>
      <w:r>
        <w:rPr>
          <w:rFonts w:ascii="Arial" w:hAnsi="Arial"/>
          <w:i/>
          <w:sz w:val="18"/>
        </w:rPr>
        <w:t>Mango v. BuzzFeed</w:t>
      </w:r>
      <w:r>
        <w:rPr>
          <w:rFonts w:ascii="Arial" w:hAnsi="Arial"/>
          <w:sz w:val="18"/>
        </w:rPr>
        <w:t>, Inc., 970 F.3d 167, 171 (2d Cir. 2020).</w:t>
      </w:r>
    </w:p>
  </w:footnote>
  <w:footnote w:id="115">
    <w:p w14:paraId="64FA2A4B" w14:textId="77777777" w:rsidR="00805402" w:rsidRDefault="00000000">
      <w:pPr>
        <w:spacing w:after="60"/>
      </w:pPr>
      <w:r>
        <w:rPr>
          <w:rFonts w:ascii="Arial" w:hAnsi="Arial"/>
          <w:sz w:val="18"/>
          <w:vertAlign w:val="superscript"/>
        </w:rPr>
        <w:footnoteRef/>
      </w:r>
      <w:r>
        <w:rPr>
          <w:rFonts w:ascii="Arial" w:hAnsi="Arial"/>
          <w:sz w:val="18"/>
        </w:rPr>
        <w:t xml:space="preserve"> 17 U.S.C. § 106A; </w:t>
      </w:r>
      <w:r>
        <w:rPr>
          <w:rFonts w:ascii="Arial" w:hAnsi="Arial"/>
          <w:i/>
          <w:sz w:val="18"/>
        </w:rPr>
        <w:t>Dastar</w:t>
      </w:r>
      <w:r>
        <w:rPr>
          <w:rFonts w:ascii="Arial" w:hAnsi="Arial"/>
          <w:sz w:val="18"/>
        </w:rPr>
        <w:t>, supra note 9, at 34 ("carefully limited").</w:t>
      </w:r>
    </w:p>
  </w:footnote>
  <w:footnote w:id="116">
    <w:p w14:paraId="6C356D3D"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Lexmark Int'l</w:t>
      </w:r>
      <w:r>
        <w:rPr>
          <w:rFonts w:ascii="Arial" w:hAnsi="Arial"/>
          <w:sz w:val="18"/>
        </w:rPr>
        <w:t>, Inc. v. Static Control Components, Inc., 572 U.S. 118, 129-34 (2014); Ginsburg, supra note 26, at 277-79.</w:t>
      </w:r>
    </w:p>
  </w:footnote>
  <w:footnote w:id="117">
    <w:p w14:paraId="58ACAFE0" w14:textId="77777777" w:rsidR="00805402" w:rsidRDefault="00000000">
      <w:pPr>
        <w:spacing w:after="60"/>
      </w:pPr>
      <w:r>
        <w:rPr>
          <w:rFonts w:ascii="Arial" w:hAnsi="Arial"/>
          <w:sz w:val="18"/>
          <w:vertAlign w:val="superscript"/>
        </w:rPr>
        <w:footnoteRef/>
      </w:r>
      <w:r>
        <w:rPr>
          <w:rFonts w:ascii="Arial" w:hAnsi="Arial"/>
          <w:sz w:val="18"/>
        </w:rPr>
        <w:t xml:space="preserve"> Ginsburg, supra note 26, at 287, 305; Hughes, supra note 79, at 701-02, 704 (proposing "a new § 106B" and noting the proposal "does not address" waiver); Lastowka, supra note 5, at 1240; LaFrance, supra note 113; Tushnet, supra note 47, at 814; Fisk, supra note 13, at 111-12.</w:t>
      </w:r>
    </w:p>
  </w:footnote>
  <w:footnote w:id="118">
    <w:p w14:paraId="73E401CF" w14:textId="77777777" w:rsidR="00805402" w:rsidRDefault="00000000">
      <w:pPr>
        <w:spacing w:after="60"/>
      </w:pPr>
      <w:r>
        <w:rPr>
          <w:rFonts w:ascii="Arial" w:hAnsi="Arial"/>
          <w:sz w:val="18"/>
          <w:vertAlign w:val="superscript"/>
        </w:rPr>
        <w:footnoteRef/>
      </w:r>
      <w:r>
        <w:rPr>
          <w:rFonts w:ascii="Arial" w:hAnsi="Arial"/>
          <w:sz w:val="18"/>
        </w:rPr>
        <w:t xml:space="preserve"> See infra Part VIII.D.</w:t>
      </w:r>
    </w:p>
  </w:footnote>
  <w:footnote w:id="119">
    <w:p w14:paraId="0D264F73"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supra note 6, at 599-600.</w:t>
      </w:r>
    </w:p>
  </w:footnote>
  <w:footnote w:id="120">
    <w:p w14:paraId="11C29BD0" w14:textId="77777777" w:rsidR="00805402" w:rsidRDefault="00000000">
      <w:pPr>
        <w:spacing w:after="60"/>
      </w:pPr>
      <w:r>
        <w:rPr>
          <w:rFonts w:ascii="Arial" w:hAnsi="Arial"/>
          <w:sz w:val="18"/>
          <w:vertAlign w:val="superscript"/>
        </w:rPr>
        <w:footnoteRef/>
      </w:r>
      <w:r>
        <w:rPr>
          <w:rFonts w:ascii="Arial" w:hAnsi="Arial"/>
          <w:sz w:val="18"/>
        </w:rPr>
        <w:t xml:space="preserve"> Catherine L. Fisk, Authors at Work: The Origins of the Work-for-Hire Doctrine, 15 Yale J.L. &amp; Human. 1 (2003); Catherine L. Fisk, Writing for Hire: Unions, Hollywood, and Madison Avenue (2016); Fisk, supra note 13, at 90-94 (byline norms in journalism, including the Economist's no-byline policy).</w:t>
      </w:r>
    </w:p>
  </w:footnote>
  <w:footnote w:id="121">
    <w:p w14:paraId="71E03468" w14:textId="77777777" w:rsidR="00805402" w:rsidRDefault="00000000">
      <w:pPr>
        <w:spacing w:after="60"/>
      </w:pPr>
      <w:r>
        <w:rPr>
          <w:rFonts w:ascii="Arial" w:hAnsi="Arial"/>
          <w:sz w:val="18"/>
          <w:vertAlign w:val="superscript"/>
        </w:rPr>
        <w:footnoteRef/>
      </w:r>
      <w:r>
        <w:rPr>
          <w:rFonts w:ascii="Arial" w:hAnsi="Arial"/>
          <w:sz w:val="18"/>
        </w:rPr>
        <w:t xml:space="preserve"> 17 U.S.C. § 201(b); </w:t>
      </w:r>
      <w:r>
        <w:rPr>
          <w:rFonts w:ascii="Arial" w:hAnsi="Arial"/>
          <w:i/>
          <w:sz w:val="18"/>
        </w:rPr>
        <w:t>Aalmuhammed</w:t>
      </w:r>
      <w:r>
        <w:rPr>
          <w:rFonts w:ascii="Arial" w:hAnsi="Arial"/>
          <w:sz w:val="18"/>
        </w:rPr>
        <w:t xml:space="preserve">, supra note 105, at 1232-35, discussed in Lastowka, supra note 5, at 1214-17; </w:t>
      </w:r>
      <w:r>
        <w:rPr>
          <w:rFonts w:ascii="Arial" w:hAnsi="Arial"/>
          <w:i/>
          <w:sz w:val="18"/>
        </w:rPr>
        <w:t>Community for Creative Non-Violence v. Reid</w:t>
      </w:r>
      <w:r>
        <w:rPr>
          <w:rFonts w:ascii="Arial" w:hAnsi="Arial"/>
          <w:sz w:val="18"/>
        </w:rPr>
        <w:t>, 490 U.S. 730, 751-52 (1989).</w:t>
      </w:r>
    </w:p>
  </w:footnote>
  <w:footnote w:id="122">
    <w:p w14:paraId="41475C50" w14:textId="77777777" w:rsidR="00805402" w:rsidRDefault="00000000">
      <w:pPr>
        <w:spacing w:after="60"/>
      </w:pPr>
      <w:r>
        <w:rPr>
          <w:rFonts w:ascii="Arial" w:hAnsi="Arial"/>
          <w:sz w:val="18"/>
          <w:vertAlign w:val="superscript"/>
        </w:rPr>
        <w:footnoteRef/>
      </w:r>
      <w:r>
        <w:rPr>
          <w:rFonts w:ascii="Arial" w:hAnsi="Arial"/>
          <w:sz w:val="18"/>
        </w:rPr>
        <w:t xml:space="preserve"> See infra Part VIII.C.</w:t>
      </w:r>
    </w:p>
  </w:footnote>
  <w:footnote w:id="123">
    <w:p w14:paraId="69AD3D81" w14:textId="77777777" w:rsidR="00805402" w:rsidRDefault="00000000">
      <w:pPr>
        <w:spacing w:after="60"/>
      </w:pPr>
      <w:r>
        <w:rPr>
          <w:rFonts w:ascii="Arial" w:hAnsi="Arial"/>
          <w:sz w:val="18"/>
          <w:vertAlign w:val="superscript"/>
        </w:rPr>
        <w:footnoteRef/>
      </w:r>
      <w:r>
        <w:rPr>
          <w:rFonts w:ascii="Arial" w:hAnsi="Arial"/>
          <w:sz w:val="18"/>
        </w:rPr>
        <w:t xml:space="preserve"> See, e.g., Noti-Victor, supra note 23, at 190-209 (a menu of provenance, certification, legislative, and enforcement remedies for the AI case).</w:t>
      </w:r>
    </w:p>
  </w:footnote>
  <w:footnote w:id="124">
    <w:p w14:paraId="361D72E7" w14:textId="77777777" w:rsidR="00805402" w:rsidRDefault="00000000">
      <w:pPr>
        <w:spacing w:after="60"/>
      </w:pPr>
      <w:r>
        <w:rPr>
          <w:rFonts w:ascii="Arial" w:hAnsi="Arial"/>
          <w:sz w:val="18"/>
          <w:vertAlign w:val="superscript"/>
        </w:rPr>
        <w:footnoteRef/>
      </w:r>
      <w:r>
        <w:rPr>
          <w:rFonts w:ascii="Arial" w:hAnsi="Arial"/>
          <w:sz w:val="18"/>
        </w:rPr>
        <w:t xml:space="preserve"> See supra Part IV.B.</w:t>
      </w:r>
    </w:p>
  </w:footnote>
  <w:footnote w:id="125">
    <w:p w14:paraId="22CDD71F" w14:textId="77777777" w:rsidR="00805402" w:rsidRDefault="00000000">
      <w:pPr>
        <w:spacing w:after="60"/>
      </w:pPr>
      <w:r>
        <w:rPr>
          <w:rFonts w:ascii="Arial" w:hAnsi="Arial"/>
          <w:sz w:val="18"/>
          <w:vertAlign w:val="superscript"/>
        </w:rPr>
        <w:footnoteRef/>
      </w:r>
      <w:r>
        <w:rPr>
          <w:rFonts w:ascii="Arial" w:hAnsi="Arial"/>
          <w:sz w:val="18"/>
        </w:rPr>
        <w:t xml:space="preserve"> See supra Part V.E.</w:t>
      </w:r>
    </w:p>
  </w:footnote>
  <w:footnote w:id="126">
    <w:p w14:paraId="4DC27383" w14:textId="77777777" w:rsidR="00805402" w:rsidRDefault="00000000">
      <w:pPr>
        <w:spacing w:after="60"/>
      </w:pPr>
      <w:r>
        <w:rPr>
          <w:rFonts w:ascii="Arial" w:hAnsi="Arial"/>
          <w:sz w:val="18"/>
          <w:vertAlign w:val="superscript"/>
        </w:rPr>
        <w:footnoteRef/>
      </w:r>
      <w:r>
        <w:rPr>
          <w:rFonts w:ascii="Arial" w:hAnsi="Arial"/>
          <w:sz w:val="18"/>
        </w:rPr>
        <w:t xml:space="preserve"> Tushnet, supra note 47, at 799-803 (disclosure ineffectiveness); Omri Ben-Shahar &amp; Carl E. Schneider, The Failure of Mandated Disclosure, 159 U. Pa. L. Rev. 647 (2011) (the standard account of mandated disclosure's failures); Dranove &amp; Jin, supra note 46 (report-card gaming; weak consumer response); on conflict-disclosure perversity, Daylian M. Cain, George Loewenstein &amp; Don A. Moore, The Dirt on Coming Clean: Perverse Effects of Disclosing Conflicts of Interest, 34 J. Legal Stud. 1 (2005).</w:t>
      </w:r>
    </w:p>
  </w:footnote>
  <w:footnote w:id="127">
    <w:p w14:paraId="37D64BB9" w14:textId="77777777" w:rsidR="00805402" w:rsidRDefault="00000000">
      <w:pPr>
        <w:spacing w:after="60"/>
      </w:pPr>
      <w:r>
        <w:rPr>
          <w:rFonts w:ascii="Arial" w:hAnsi="Arial"/>
          <w:sz w:val="18"/>
          <w:vertAlign w:val="superscript"/>
        </w:rPr>
        <w:footnoteRef/>
      </w:r>
      <w:r>
        <w:rPr>
          <w:rFonts w:ascii="Arial" w:hAnsi="Arial"/>
          <w:sz w:val="18"/>
        </w:rPr>
        <w:t xml:space="preserve"> Cf. </w:t>
      </w:r>
      <w:r>
        <w:rPr>
          <w:rFonts w:ascii="Arial" w:hAnsi="Arial"/>
          <w:i/>
          <w:sz w:val="18"/>
        </w:rPr>
        <w:t>Americans for Prosperity Found. v. Bonta</w:t>
      </w:r>
      <w:r>
        <w:rPr>
          <w:rFonts w:ascii="Arial" w:hAnsi="Arial"/>
          <w:sz w:val="18"/>
        </w:rPr>
        <w:t>, 594 U.S. 595 (2021) (exacting scrutiny for compelled identity disclosure).</w:t>
      </w:r>
    </w:p>
  </w:footnote>
  <w:footnote w:id="128">
    <w:p w14:paraId="3323B799" w14:textId="77777777" w:rsidR="00805402" w:rsidRDefault="00000000">
      <w:pPr>
        <w:spacing w:after="60"/>
      </w:pPr>
      <w:r>
        <w:rPr>
          <w:rFonts w:ascii="Arial" w:hAnsi="Arial"/>
          <w:sz w:val="18"/>
          <w:vertAlign w:val="superscript"/>
        </w:rPr>
        <w:footnoteRef/>
      </w:r>
      <w:r>
        <w:rPr>
          <w:rFonts w:ascii="Arial" w:hAnsi="Arial"/>
          <w:sz w:val="18"/>
        </w:rPr>
        <w:t xml:space="preserve"> Lastowka, supra note 5, at 1230 (the substantial-authorial-contribution truth test); on the doctrinal template, </w:t>
      </w:r>
      <w:r>
        <w:rPr>
          <w:rFonts w:ascii="Arial" w:hAnsi="Arial"/>
          <w:i/>
          <w:sz w:val="18"/>
        </w:rPr>
        <w:t>Childress</w:t>
      </w:r>
      <w:r>
        <w:rPr>
          <w:rFonts w:ascii="Arial" w:hAnsi="Arial"/>
          <w:sz w:val="18"/>
        </w:rPr>
        <w:t xml:space="preserve">, supra note 105, at 507-09; </w:t>
      </w:r>
      <w:r>
        <w:rPr>
          <w:rFonts w:ascii="Arial" w:hAnsi="Arial"/>
          <w:i/>
          <w:sz w:val="18"/>
        </w:rPr>
        <w:t>Thomson</w:t>
      </w:r>
      <w:r>
        <w:rPr>
          <w:rFonts w:ascii="Arial" w:hAnsi="Arial"/>
          <w:sz w:val="18"/>
        </w:rPr>
        <w:t>, supra note 105, at 200-05.</w:t>
      </w:r>
    </w:p>
  </w:footnote>
  <w:footnote w:id="129">
    <w:p w14:paraId="7C4735AE" w14:textId="77777777" w:rsidR="00805402" w:rsidRDefault="00000000">
      <w:pPr>
        <w:spacing w:after="60"/>
      </w:pPr>
      <w:r>
        <w:rPr>
          <w:rFonts w:ascii="Arial" w:hAnsi="Arial"/>
          <w:sz w:val="18"/>
          <w:vertAlign w:val="superscript"/>
        </w:rPr>
        <w:footnoteRef/>
      </w:r>
      <w:r>
        <w:rPr>
          <w:rFonts w:ascii="Arial" w:hAnsi="Arial"/>
          <w:sz w:val="18"/>
        </w:rPr>
        <w:t xml:space="preserve"> See supra Part IV.</w:t>
      </w:r>
    </w:p>
  </w:footnote>
  <w:footnote w:id="130">
    <w:p w14:paraId="52E350E4" w14:textId="77777777" w:rsidR="00805402" w:rsidRDefault="00000000">
      <w:pPr>
        <w:spacing w:after="60"/>
      </w:pPr>
      <w:r>
        <w:rPr>
          <w:rFonts w:ascii="Arial" w:hAnsi="Arial"/>
          <w:sz w:val="18"/>
          <w:vertAlign w:val="superscript"/>
        </w:rPr>
        <w:footnoteRef/>
      </w:r>
      <w:r>
        <w:rPr>
          <w:rFonts w:ascii="Arial" w:hAnsi="Arial"/>
          <w:sz w:val="18"/>
        </w:rPr>
        <w:t xml:space="preserve"> See supra Part V.E.</w:t>
      </w:r>
    </w:p>
  </w:footnote>
  <w:footnote w:id="131">
    <w:p w14:paraId="75A31E41" w14:textId="77777777" w:rsidR="00805402" w:rsidRDefault="00000000">
      <w:pPr>
        <w:spacing w:after="60"/>
      </w:pPr>
      <w:r>
        <w:rPr>
          <w:rFonts w:ascii="Arial" w:hAnsi="Arial"/>
          <w:sz w:val="18"/>
          <w:vertAlign w:val="superscript"/>
        </w:rPr>
        <w:footnoteRef/>
      </w:r>
      <w:r>
        <w:rPr>
          <w:rFonts w:ascii="Arial" w:hAnsi="Arial"/>
          <w:sz w:val="18"/>
        </w:rPr>
        <w:t xml:space="preserve"> The Lanham Act is closed for authorship claims: the post-Dastar cases hold that authorship is not a "nature, characteristic, or quality" of goods under the false-advertising prong. </w:t>
      </w:r>
      <w:r>
        <w:rPr>
          <w:rFonts w:ascii="Arial" w:hAnsi="Arial"/>
          <w:i/>
          <w:sz w:val="18"/>
        </w:rPr>
        <w:t>Sybersound Records</w:t>
      </w:r>
      <w:r>
        <w:rPr>
          <w:rFonts w:ascii="Arial" w:hAnsi="Arial"/>
          <w:sz w:val="18"/>
        </w:rPr>
        <w:t xml:space="preserve">, Inc. v. UAV Corp., 517 F.3d 1137, 1143-44 (9th Cir. 2008); </w:t>
      </w:r>
      <w:r>
        <w:rPr>
          <w:rFonts w:ascii="Arial" w:hAnsi="Arial"/>
          <w:i/>
          <w:sz w:val="18"/>
        </w:rPr>
        <w:t>Antidote</w:t>
      </w:r>
      <w:r>
        <w:rPr>
          <w:rFonts w:ascii="Arial" w:hAnsi="Arial"/>
          <w:sz w:val="18"/>
        </w:rPr>
        <w:t xml:space="preserve">, supra note 112, at 399-400. The FTC is not bound by Dastar's reading of "origin," and it has already banned a neighboring class of paid misattribution outright in the fake-reviews rule. Trade Regulation Rule on the Use of Consumer Reviews and Testimonials, 89 Fed. Reg. 68,034 (Aug. 22, 2024) (codified at 16 C.F.R. pt. 465); cf. 16 C.F.R. pt. 255 (the FTC Endorsement Guides; undisclosed material connections). Two state cases show the same machinery reaching book covers directly, over First Amendment objections: </w:t>
      </w:r>
      <w:r>
        <w:rPr>
          <w:rFonts w:ascii="Arial" w:hAnsi="Arial"/>
          <w:i/>
          <w:sz w:val="18"/>
        </w:rPr>
        <w:t>Keimer v. Buena Vista Books</w:t>
      </w:r>
      <w:r>
        <w:rPr>
          <w:rFonts w:ascii="Arial" w:hAnsi="Arial"/>
          <w:sz w:val="18"/>
        </w:rPr>
        <w:t xml:space="preserve">, Inc., 75 Cal. App. 4th 1220 (1999); </w:t>
      </w:r>
      <w:r>
        <w:rPr>
          <w:rFonts w:ascii="Arial" w:hAnsi="Arial"/>
          <w:i/>
          <w:sz w:val="18"/>
        </w:rPr>
        <w:t>Lacoff v. Buena Vista Publ'g</w:t>
      </w:r>
      <w:r>
        <w:rPr>
          <w:rFonts w:ascii="Arial" w:hAnsi="Arial"/>
          <w:sz w:val="18"/>
        </w:rPr>
        <w:t>, Inc., 705 N.Y.S.2d 183 (Sup. Ct. 2000).</w:t>
      </w:r>
    </w:p>
  </w:footnote>
  <w:footnote w:id="132">
    <w:p w14:paraId="0DCCA53E" w14:textId="77777777" w:rsidR="00805402" w:rsidRDefault="00000000">
      <w:pPr>
        <w:spacing w:after="60"/>
      </w:pPr>
      <w:r>
        <w:rPr>
          <w:rFonts w:ascii="Arial" w:hAnsi="Arial"/>
          <w:sz w:val="18"/>
          <w:vertAlign w:val="superscript"/>
        </w:rPr>
        <w:footnoteRef/>
      </w:r>
      <w:r>
        <w:rPr>
          <w:rFonts w:ascii="Arial" w:hAnsi="Arial"/>
          <w:sz w:val="18"/>
        </w:rPr>
        <w:t xml:space="preserve"> See supra Parts IV.C, VI.B.</w:t>
      </w:r>
    </w:p>
  </w:footnote>
  <w:footnote w:id="133">
    <w:p w14:paraId="7EEBF823" w14:textId="77777777" w:rsidR="00805402" w:rsidRDefault="00000000">
      <w:pPr>
        <w:spacing w:after="60"/>
      </w:pPr>
      <w:r>
        <w:rPr>
          <w:rFonts w:ascii="Arial" w:hAnsi="Arial"/>
          <w:sz w:val="18"/>
          <w:vertAlign w:val="superscript"/>
        </w:rPr>
        <w:footnoteRef/>
      </w:r>
      <w:r>
        <w:rPr>
          <w:rFonts w:ascii="Arial" w:hAnsi="Arial"/>
          <w:sz w:val="18"/>
        </w:rPr>
        <w:t xml:space="preserve"> Code de la propriété intellectuelle art. L. 121-1 (Fr.) (the inalienable attribution right) ("Ce droit est ... perpétuel, inaliénable et imprescriptible."); </w:t>
      </w:r>
      <w:r>
        <w:rPr>
          <w:rFonts w:ascii="Arial" w:hAnsi="Arial"/>
          <w:i/>
          <w:sz w:val="18"/>
        </w:rPr>
        <w:t>Cass. 1e civ.</w:t>
      </w:r>
      <w:r>
        <w:rPr>
          <w:rFonts w:ascii="Arial" w:hAnsi="Arial"/>
          <w:sz w:val="18"/>
        </w:rPr>
        <w:t xml:space="preserve">, May 5, 1993, No. 91-13.664 (Fr.) (a ghostwriter's contractual anonymity clause is lawful but revocable: it "cannot constitute a definitive renunciation" of the attribution right); </w:t>
      </w:r>
      <w:r>
        <w:rPr>
          <w:rFonts w:ascii="Arial" w:hAnsi="Arial"/>
          <w:i/>
          <w:sz w:val="18"/>
        </w:rPr>
        <w:t>CA Paris</w:t>
      </w:r>
      <w:r>
        <w:rPr>
          <w:rFonts w:ascii="Arial" w:hAnsi="Arial"/>
          <w:sz w:val="18"/>
        </w:rPr>
        <w:t>, 1e ch., Feb. 1, 1989 (Bragance v. Orban), RIDA 1989, no. 142, p. 301 (Fr.) (a full waiver of attribution governed by New York law was unenforceable in France; the ghost was entitled to be named in future French editions); see Cyrill P. Rigamonti, Deconstructing Moral Rights, 47 Harv. Int'l L.J. 353, 378-79 (2006) (authors "cannot validly bind themselves never to disclose their real identity").</w:t>
      </w:r>
    </w:p>
  </w:footnote>
  <w:footnote w:id="134">
    <w:p w14:paraId="3D9B54E5" w14:textId="77777777" w:rsidR="00805402" w:rsidRDefault="00000000">
      <w:pPr>
        <w:spacing w:after="60"/>
      </w:pPr>
      <w:r>
        <w:rPr>
          <w:rFonts w:ascii="Arial" w:hAnsi="Arial"/>
          <w:sz w:val="18"/>
          <w:vertAlign w:val="superscript"/>
        </w:rPr>
        <w:footnoteRef/>
      </w:r>
      <w:r>
        <w:rPr>
          <w:rFonts w:ascii="Arial" w:hAnsi="Arial"/>
          <w:sz w:val="18"/>
        </w:rPr>
        <w:t xml:space="preserve"> Jean-Michel Ogier, Écrivain fantôme ou le très lucratif métier de nègre littéraire, franceinfo (Feb. 20, 2017) (documenting the open French ghost trade and its economics); Emmanuel Pierrat, Le droit du Prête-Plume, Livres Hebdo (Nov. 24, 2017) (the French publishing bar's standard advice: a nondisclosure clause cannot stop the ghost from revealing her role, so publishers should credit the ghost and share royalties ex ante).</w:t>
      </w:r>
    </w:p>
  </w:footnote>
  <w:footnote w:id="135">
    <w:p w14:paraId="0B14AA8A" w14:textId="77777777" w:rsidR="00805402" w:rsidRDefault="00000000">
      <w:pPr>
        <w:spacing w:after="60"/>
      </w:pPr>
      <w:r>
        <w:rPr>
          <w:rFonts w:ascii="Arial" w:hAnsi="Arial"/>
          <w:sz w:val="18"/>
          <w:vertAlign w:val="superscript"/>
        </w:rPr>
        <w:footnoteRef/>
      </w:r>
      <w:r>
        <w:rPr>
          <w:rFonts w:ascii="Arial" w:hAnsi="Arial"/>
          <w:sz w:val="18"/>
        </w:rPr>
        <w:t xml:space="preserve"> Pierrat, supra note 135; Rigamonti, supra note 134, at 378-79. The proof burden falls on the ghost under the disclosure presumption of CPI art. L. 113-1, which is part of why the market does not unravel.</w:t>
      </w:r>
    </w:p>
  </w:footnote>
  <w:footnote w:id="136">
    <w:p w14:paraId="32DF1F57" w14:textId="77777777" w:rsidR="00805402" w:rsidRDefault="00000000">
      <w:pPr>
        <w:spacing w:after="60"/>
      </w:pPr>
      <w:r>
        <w:rPr>
          <w:rFonts w:ascii="Arial" w:hAnsi="Arial"/>
          <w:sz w:val="18"/>
          <w:vertAlign w:val="superscript"/>
        </w:rPr>
        <w:footnoteRef/>
      </w:r>
      <w:r>
        <w:rPr>
          <w:rFonts w:ascii="Arial" w:hAnsi="Arial"/>
          <w:sz w:val="18"/>
        </w:rPr>
        <w:t xml:space="preserve"> 17 U.S.C. § 203(a)(5); 17 U.S.C. § 106A(e) (VARA attribution rights waivable by signed written instrument).</w:t>
      </w:r>
    </w:p>
  </w:footnote>
  <w:footnote w:id="137">
    <w:p w14:paraId="34C210B7" w14:textId="77777777" w:rsidR="00805402" w:rsidRDefault="00000000">
      <w:pPr>
        <w:spacing w:after="60"/>
      </w:pPr>
      <w:r>
        <w:rPr>
          <w:rFonts w:ascii="Arial" w:hAnsi="Arial"/>
          <w:sz w:val="18"/>
          <w:vertAlign w:val="superscript"/>
        </w:rPr>
        <w:footnoteRef/>
      </w:r>
      <w:r>
        <w:rPr>
          <w:rFonts w:ascii="Arial" w:hAnsi="Arial"/>
          <w:sz w:val="18"/>
        </w:rPr>
        <w:t xml:space="preserve"> See infra Part VIII.E (the carve-outs).</w:t>
      </w:r>
    </w:p>
  </w:footnote>
  <w:footnote w:id="138">
    <w:p w14:paraId="14081A98" w14:textId="77777777" w:rsidR="00805402" w:rsidRDefault="00000000">
      <w:pPr>
        <w:spacing w:after="60"/>
      </w:pPr>
      <w:r>
        <w:rPr>
          <w:rFonts w:ascii="Arial" w:hAnsi="Arial"/>
          <w:sz w:val="18"/>
          <w:vertAlign w:val="superscript"/>
        </w:rPr>
        <w:footnoteRef/>
      </w:r>
      <w:r>
        <w:rPr>
          <w:rFonts w:ascii="Arial" w:hAnsi="Arial"/>
          <w:sz w:val="18"/>
        </w:rPr>
        <w:t xml:space="preserve"> See supra Part VII.C; </w:t>
      </w:r>
      <w:r>
        <w:rPr>
          <w:rFonts w:ascii="Arial" w:hAnsi="Arial"/>
          <w:i/>
          <w:sz w:val="18"/>
        </w:rPr>
        <w:t>Roddy-Eden</w:t>
      </w:r>
      <w:r>
        <w:rPr>
          <w:rFonts w:ascii="Arial" w:hAnsi="Arial"/>
          <w:sz w:val="18"/>
        </w:rPr>
        <w:t>, supra note 6.</w:t>
      </w:r>
    </w:p>
  </w:footnote>
  <w:footnote w:id="139">
    <w:p w14:paraId="15F0F218" w14:textId="77777777" w:rsidR="00805402" w:rsidRDefault="00000000">
      <w:pPr>
        <w:spacing w:after="60"/>
      </w:pPr>
      <w:r>
        <w:rPr>
          <w:rFonts w:ascii="Arial" w:hAnsi="Arial"/>
          <w:sz w:val="18"/>
          <w:vertAlign w:val="superscript"/>
        </w:rPr>
        <w:footnoteRef/>
      </w:r>
      <w:r>
        <w:rPr>
          <w:rFonts w:ascii="Arial" w:hAnsi="Arial"/>
          <w:sz w:val="18"/>
        </w:rPr>
        <w:t xml:space="preserve"> See supra Part VII.B. Criminal exposure remains only where existing fraud law already reaches: the warranty contexts. See Stern &amp; Lemmens, supra note 14.</w:t>
      </w:r>
    </w:p>
  </w:footnote>
  <w:footnote w:id="140">
    <w:p w14:paraId="57843106" w14:textId="77777777" w:rsidR="00805402" w:rsidRDefault="00000000">
      <w:pPr>
        <w:spacing w:after="60"/>
      </w:pPr>
      <w:r>
        <w:rPr>
          <w:rFonts w:ascii="Arial" w:hAnsi="Arial"/>
          <w:sz w:val="18"/>
          <w:vertAlign w:val="superscript"/>
        </w:rPr>
        <w:footnoteRef/>
      </w:r>
      <w:r>
        <w:rPr>
          <w:rFonts w:ascii="Arial" w:hAnsi="Arial"/>
          <w:sz w:val="18"/>
        </w:rPr>
        <w:t xml:space="preserve"> The unenforceability rule (supra Part VIII.C) removes the ghost's legal muzzle; the bounty gives her an affirmative reason to speak. On the design, cf. the qui tam structure of the False Claims Act, 31 U.S.C. § 3730.</w:t>
      </w:r>
    </w:p>
  </w:footnote>
  <w:footnote w:id="141">
    <w:p w14:paraId="055996C3" w14:textId="77777777" w:rsidR="00805402" w:rsidRDefault="00000000">
      <w:pPr>
        <w:spacing w:after="60"/>
      </w:pPr>
      <w:r>
        <w:rPr>
          <w:rFonts w:ascii="Arial" w:hAnsi="Arial"/>
          <w:sz w:val="18"/>
          <w:vertAlign w:val="superscript"/>
        </w:rPr>
        <w:footnoteRef/>
      </w:r>
      <w:r>
        <w:rPr>
          <w:rFonts w:ascii="Arial" w:hAnsi="Arial"/>
          <w:sz w:val="18"/>
        </w:rPr>
        <w:t xml:space="preserve"> Sorensen, Counselor, supra note 3, at 146, 151.</w:t>
      </w:r>
    </w:p>
  </w:footnote>
  <w:footnote w:id="142">
    <w:p w14:paraId="58F979AD"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281 Care Committee v. Arneson</w:t>
      </w:r>
      <w:r>
        <w:rPr>
          <w:rFonts w:ascii="Arial" w:hAnsi="Arial"/>
          <w:sz w:val="18"/>
        </w:rPr>
        <w:t xml:space="preserve">, 766 F.3d 774, 785 (8th Cir. 2014); </w:t>
      </w:r>
      <w:r>
        <w:rPr>
          <w:rFonts w:ascii="Arial" w:hAnsi="Arial"/>
          <w:i/>
          <w:sz w:val="18"/>
        </w:rPr>
        <w:t>Susan B. Anthony List v. Driehaus</w:t>
      </w:r>
      <w:r>
        <w:rPr>
          <w:rFonts w:ascii="Arial" w:hAnsi="Arial"/>
          <w:sz w:val="18"/>
        </w:rPr>
        <w:t>, 814 F.3d 466 (6th Cir. 2016).</w:t>
      </w:r>
    </w:p>
  </w:footnote>
  <w:footnote w:id="143">
    <w:p w14:paraId="75BDBC95"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Citizens United v. FEC</w:t>
      </w:r>
      <w:r>
        <w:rPr>
          <w:rFonts w:ascii="Arial" w:hAnsi="Arial"/>
          <w:sz w:val="18"/>
        </w:rPr>
        <w:t>, 558 U.S. 310, 366-71 (2010) (upholding disclaimer and disclosure requirements by an 8-1 vote); on the speechwriting convention, Apostolos Paralikas, Can Ghostwriting Be Considered Consensual Plagiarism?, 63 IDEA 67, 77 (2022) ("It is no surprise that the speeches of politicians are ghostwritten . . . ."); Debra L. Bassett, Characterizing Ghostwriting, 5 St. Mary's J. on Legal Malpractice &amp; Ethics 286 (2014).</w:t>
      </w:r>
    </w:p>
  </w:footnote>
  <w:footnote w:id="144">
    <w:p w14:paraId="0AF89F10" w14:textId="77777777" w:rsidR="00805402" w:rsidRDefault="00000000">
      <w:pPr>
        <w:spacing w:after="60"/>
      </w:pPr>
      <w:r>
        <w:rPr>
          <w:rFonts w:ascii="Arial" w:hAnsi="Arial"/>
          <w:sz w:val="18"/>
          <w:vertAlign w:val="superscript"/>
        </w:rPr>
        <w:footnoteRef/>
      </w:r>
      <w:r>
        <w:rPr>
          <w:rFonts w:ascii="Arial" w:hAnsi="Arial"/>
          <w:sz w:val="18"/>
        </w:rPr>
        <w:t xml:space="preserve"> See supra Part VI.B; Lastowka, supra note 5, at 1230.</w:t>
      </w:r>
    </w:p>
  </w:footnote>
  <w:footnote w:id="145">
    <w:p w14:paraId="7EFAD0BF" w14:textId="77777777" w:rsidR="00805402" w:rsidRDefault="00000000">
      <w:pPr>
        <w:spacing w:after="60"/>
      </w:pPr>
      <w:r>
        <w:rPr>
          <w:rFonts w:ascii="Arial" w:hAnsi="Arial"/>
          <w:sz w:val="18"/>
          <w:vertAlign w:val="superscript"/>
        </w:rPr>
        <w:footnoteRef/>
      </w:r>
      <w:r>
        <w:rPr>
          <w:rFonts w:ascii="Arial" w:hAnsi="Arial"/>
          <w:sz w:val="18"/>
        </w:rPr>
        <w:t xml:space="preserve"> Jeffrey S. Rosenthal &amp; Albert H. Yoon, Judicial Ghostwriting: Authorship on the Supreme Court, 96 Cornell L. Rev. 1307, 1308-09 (2011) (a statistical study of the pervasiveness of clerk drafting).</w:t>
      </w:r>
    </w:p>
  </w:footnote>
  <w:footnote w:id="146">
    <w:p w14:paraId="77272878"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supra note 6, at 600.</w:t>
      </w:r>
    </w:p>
  </w:footnote>
  <w:footnote w:id="147">
    <w:p w14:paraId="344871D0" w14:textId="77777777" w:rsidR="00805402" w:rsidRDefault="00000000">
      <w:pPr>
        <w:spacing w:after="60"/>
      </w:pPr>
      <w:r>
        <w:rPr>
          <w:rFonts w:ascii="Arial" w:hAnsi="Arial"/>
          <w:sz w:val="18"/>
          <w:vertAlign w:val="superscript"/>
        </w:rPr>
        <w:footnoteRef/>
      </w:r>
      <w:r>
        <w:rPr>
          <w:rFonts w:ascii="Arial" w:hAnsi="Arial"/>
          <w:sz w:val="18"/>
        </w:rPr>
        <w:t xml:space="preserve"> See supra Part III.B.</w:t>
      </w:r>
    </w:p>
  </w:footnote>
  <w:footnote w:id="148">
    <w:p w14:paraId="5A4319E5" w14:textId="77777777" w:rsidR="00805402" w:rsidRDefault="00000000">
      <w:pPr>
        <w:spacing w:after="60"/>
      </w:pPr>
      <w:r>
        <w:rPr>
          <w:rFonts w:ascii="Arial" w:hAnsi="Arial"/>
          <w:sz w:val="18"/>
          <w:vertAlign w:val="superscript"/>
        </w:rPr>
        <w:footnoteRef/>
      </w:r>
      <w:r>
        <w:rPr>
          <w:rFonts w:ascii="Arial" w:hAnsi="Arial"/>
          <w:sz w:val="18"/>
        </w:rPr>
        <w:t xml:space="preserve"> Noti-Victor, supra note 23, at 200 (proposing a copyright-misuse remedy); see supra Part III.C.</w:t>
      </w:r>
    </w:p>
  </w:footnote>
  <w:footnote w:id="149">
    <w:p w14:paraId="5B453E28" w14:textId="77777777" w:rsidR="00805402" w:rsidRDefault="00000000">
      <w:pPr>
        <w:spacing w:after="60"/>
      </w:pPr>
      <w:r>
        <w:rPr>
          <w:rFonts w:ascii="Arial" w:hAnsi="Arial"/>
          <w:sz w:val="18"/>
          <w:vertAlign w:val="superscript"/>
        </w:rPr>
        <w:footnoteRef/>
      </w:r>
      <w:r>
        <w:rPr>
          <w:rFonts w:ascii="Arial" w:hAnsi="Arial"/>
          <w:sz w:val="18"/>
        </w:rPr>
        <w:t xml:space="preserve"> Skills and Post-16 Education Act 2022, c. 21, §§ 26-30 (Eng.) (England-only; regulated qualifications; summary fines).</w:t>
      </w:r>
    </w:p>
  </w:footnote>
  <w:footnote w:id="150">
    <w:p w14:paraId="0A6E67D1" w14:textId="77777777" w:rsidR="00805402" w:rsidRDefault="00000000">
      <w:pPr>
        <w:spacing w:after="60"/>
      </w:pPr>
      <w:r>
        <w:rPr>
          <w:rFonts w:ascii="Arial" w:hAnsi="Arial"/>
          <w:sz w:val="18"/>
          <w:vertAlign w:val="superscript"/>
        </w:rPr>
        <w:footnoteRef/>
      </w:r>
      <w:r>
        <w:rPr>
          <w:rFonts w:ascii="Arial" w:hAnsi="Arial"/>
          <w:sz w:val="18"/>
        </w:rPr>
        <w:t xml:space="preserve"> Trade Regulation Rule on the Use of Consumer Reviews and Testimonials, 89 Fed. Reg. 68,034 (Aug. 22, 2024) (codified at 16 C.F.R. pt. 465).</w:t>
      </w:r>
    </w:p>
  </w:footnote>
  <w:footnote w:id="151">
    <w:p w14:paraId="489163E3" w14:textId="77777777" w:rsidR="00805402" w:rsidRDefault="00000000">
      <w:pPr>
        <w:spacing w:after="60"/>
      </w:pPr>
      <w:r>
        <w:rPr>
          <w:rFonts w:ascii="Arial" w:hAnsi="Arial"/>
          <w:sz w:val="18"/>
          <w:vertAlign w:val="superscript"/>
        </w:rPr>
        <w:footnoteRef/>
      </w:r>
      <w:r>
        <w:rPr>
          <w:rFonts w:ascii="Arial" w:hAnsi="Arial"/>
          <w:sz w:val="18"/>
        </w:rPr>
        <w:t xml:space="preserve"> Ginsburg, supra note 26, at 287, 305; Fisk, supra note 13, at 111-12.</w:t>
      </w:r>
    </w:p>
  </w:footnote>
  <w:footnote w:id="152">
    <w:p w14:paraId="0CB1E6B1"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Zauderer v. Office of Disciplinary Counsel</w:t>
      </w:r>
      <w:r>
        <w:rPr>
          <w:rFonts w:ascii="Arial" w:hAnsi="Arial"/>
          <w:sz w:val="18"/>
        </w:rPr>
        <w:t>, 471 U.S. 626, 651 (1985).</w:t>
      </w:r>
    </w:p>
  </w:footnote>
  <w:footnote w:id="153">
    <w:p w14:paraId="1FEBC502"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Meese v. Keene</w:t>
      </w:r>
      <w:r>
        <w:rPr>
          <w:rFonts w:ascii="Arial" w:hAnsi="Arial"/>
          <w:sz w:val="18"/>
        </w:rPr>
        <w:t xml:space="preserve">, 481 U.S. 465, 480-85 (1987) (source labeling on protected films); </w:t>
      </w:r>
      <w:r>
        <w:rPr>
          <w:rFonts w:ascii="Arial" w:hAnsi="Arial"/>
          <w:i/>
          <w:sz w:val="18"/>
        </w:rPr>
        <w:t>Am. Meat Inst. v. USDA</w:t>
      </w:r>
      <w:r>
        <w:rPr>
          <w:rFonts w:ascii="Arial" w:hAnsi="Arial"/>
          <w:sz w:val="18"/>
        </w:rPr>
        <w:t xml:space="preserve">, 760 F.3d 18, 20-23 (D.C. Cir. 2014) (en banc); cf. </w:t>
      </w:r>
      <w:r>
        <w:rPr>
          <w:rFonts w:ascii="Arial" w:hAnsi="Arial"/>
          <w:i/>
          <w:sz w:val="18"/>
        </w:rPr>
        <w:t>Milavetz</w:t>
      </w:r>
      <w:r>
        <w:rPr>
          <w:rFonts w:ascii="Arial" w:hAnsi="Arial"/>
          <w:sz w:val="18"/>
        </w:rPr>
        <w:t xml:space="preserve">, Gallop &amp; Milavetz, P.A. v. United States, 559 U.S. 229, 249-53 (2010); on the exacting-review alternative, </w:t>
      </w:r>
      <w:r>
        <w:rPr>
          <w:rFonts w:ascii="Arial" w:hAnsi="Arial"/>
          <w:i/>
          <w:sz w:val="18"/>
        </w:rPr>
        <w:t>Riley v. Nat'l Fed'n of the Blind of N.C.</w:t>
      </w:r>
      <w:r>
        <w:rPr>
          <w:rFonts w:ascii="Arial" w:hAnsi="Arial"/>
          <w:sz w:val="18"/>
        </w:rPr>
        <w:t>, Inc., 487 U.S. 781, 795, 798 (1988).</w:t>
      </w:r>
    </w:p>
  </w:footnote>
  <w:footnote w:id="154">
    <w:p w14:paraId="32F193C0"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Nat'l Inst. of Fam. &amp; Life Advocs. v. Becerra</w:t>
      </w:r>
      <w:r>
        <w:rPr>
          <w:rFonts w:ascii="Arial" w:hAnsi="Arial"/>
          <w:sz w:val="18"/>
        </w:rPr>
        <w:t>, 585 U.S. 755, 776-77 (2018).</w:t>
      </w:r>
    </w:p>
  </w:footnote>
  <w:footnote w:id="155">
    <w:p w14:paraId="78BE052A"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768-69.</w:t>
      </w:r>
    </w:p>
  </w:footnote>
  <w:footnote w:id="156">
    <w:p w14:paraId="2CD902FC"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Miami Herald Publ'g Co. v. Tornillo</w:t>
      </w:r>
      <w:r>
        <w:rPr>
          <w:rFonts w:ascii="Arial" w:hAnsi="Arial"/>
          <w:sz w:val="18"/>
        </w:rPr>
        <w:t>, 418 U.S. 241, 258 (1974).</w:t>
      </w:r>
    </w:p>
  </w:footnote>
  <w:footnote w:id="157">
    <w:p w14:paraId="1C54589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Hurley v. Irish-Am. Gay</w:t>
      </w:r>
      <w:r>
        <w:rPr>
          <w:rFonts w:ascii="Arial" w:hAnsi="Arial"/>
          <w:sz w:val="18"/>
        </w:rPr>
        <w:t>, Lesbian &amp; Bisexual Grp. of Bos., 515 U.S. 557, 573 (1995).</w:t>
      </w:r>
    </w:p>
  </w:footnote>
  <w:footnote w:id="158">
    <w:p w14:paraId="6AD74091"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Riley</w:t>
      </w:r>
      <w:r>
        <w:rPr>
          <w:rFonts w:ascii="Arial" w:hAnsi="Arial"/>
          <w:sz w:val="18"/>
        </w:rPr>
        <w:t>, supra note 154, at 795, 798.</w:t>
      </w:r>
    </w:p>
  </w:footnote>
  <w:footnote w:id="159">
    <w:p w14:paraId="5ED4DEDA" w14:textId="77777777" w:rsidR="00805402" w:rsidRDefault="00000000">
      <w:pPr>
        <w:spacing w:after="60"/>
      </w:pPr>
      <w:r>
        <w:rPr>
          <w:rFonts w:ascii="Arial" w:hAnsi="Arial"/>
          <w:sz w:val="18"/>
          <w:vertAlign w:val="superscript"/>
        </w:rPr>
        <w:footnoteRef/>
      </w:r>
      <w:r>
        <w:rPr>
          <w:rFonts w:ascii="Arial" w:hAnsi="Arial"/>
          <w:sz w:val="18"/>
        </w:rPr>
        <w:t xml:space="preserve"> Cf. </w:t>
      </w:r>
      <w:r>
        <w:rPr>
          <w:rFonts w:ascii="Arial" w:hAnsi="Arial"/>
          <w:i/>
          <w:sz w:val="18"/>
        </w:rPr>
        <w:t>Roddy-Eden</w:t>
      </w:r>
      <w:r>
        <w:rPr>
          <w:rFonts w:ascii="Arial" w:hAnsi="Arial"/>
          <w:sz w:val="18"/>
        </w:rPr>
        <w:t>, supra note 6, at 599 (refusing enforcement on public-policy grounds).</w:t>
      </w:r>
    </w:p>
  </w:footnote>
  <w:footnote w:id="160">
    <w:p w14:paraId="27764BDB"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McIntyre v. Ohio Elections Comm'n</w:t>
      </w:r>
      <w:r>
        <w:rPr>
          <w:rFonts w:ascii="Arial" w:hAnsi="Arial"/>
          <w:sz w:val="18"/>
        </w:rPr>
        <w:t xml:space="preserve">, 514 U.S. 334, 342 (1995); </w:t>
      </w:r>
      <w:r>
        <w:rPr>
          <w:rFonts w:ascii="Arial" w:hAnsi="Arial"/>
          <w:i/>
          <w:sz w:val="18"/>
        </w:rPr>
        <w:t>Talley v. California</w:t>
      </w:r>
      <w:r>
        <w:rPr>
          <w:rFonts w:ascii="Arial" w:hAnsi="Arial"/>
          <w:sz w:val="18"/>
        </w:rPr>
        <w:t>, 362 U.S. 60, 65 (1960).</w:t>
      </w:r>
    </w:p>
  </w:footnote>
  <w:footnote w:id="161">
    <w:p w14:paraId="0048D14D"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United States v. Alvarez</w:t>
      </w:r>
      <w:r>
        <w:rPr>
          <w:rFonts w:ascii="Arial" w:hAnsi="Arial"/>
          <w:sz w:val="18"/>
        </w:rPr>
        <w:t>, 567 U.S. 709, 717-19 (2012).</w:t>
      </w:r>
    </w:p>
  </w:footnote>
  <w:footnote w:id="162">
    <w:p w14:paraId="0492280E"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723.</w:t>
      </w:r>
    </w:p>
  </w:footnote>
  <w:footnote w:id="163">
    <w:p w14:paraId="7617539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731, 734 (Breyer, J., concurring in the judgment).</w:t>
      </w:r>
    </w:p>
  </w:footnote>
  <w:footnote w:id="164">
    <w:p w14:paraId="77EE9A09" w14:textId="77777777" w:rsidR="00805402" w:rsidRDefault="00000000">
      <w:pPr>
        <w:spacing w:after="60"/>
      </w:pPr>
      <w:r>
        <w:rPr>
          <w:rFonts w:ascii="Arial" w:hAnsi="Arial"/>
          <w:sz w:val="18"/>
          <w:vertAlign w:val="superscript"/>
        </w:rPr>
        <w:footnoteRef/>
      </w:r>
      <w:r>
        <w:rPr>
          <w:rFonts w:ascii="Arial" w:hAnsi="Arial"/>
          <w:sz w:val="18"/>
        </w:rPr>
        <w:t xml:space="preserve"> Stolen Valor Act of 2013, Pub. L. No. 113-12, 127 Stat. 448 (codified at 18 U.S.C. § 704(b)) (adding an intent to obtain money, property, or other tangible benefit).</w:t>
      </w:r>
    </w:p>
  </w:footnote>
  <w:footnote w:id="165">
    <w:p w14:paraId="17983E9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Pittsburgh Press Co. v. Pittsburgh Comm'n on Human Relations</w:t>
      </w:r>
      <w:r>
        <w:rPr>
          <w:rFonts w:ascii="Arial" w:hAnsi="Arial"/>
          <w:sz w:val="18"/>
        </w:rPr>
        <w:t xml:space="preserve">, 413 U.S. 376, 388-89 (1973); </w:t>
      </w:r>
      <w:r>
        <w:rPr>
          <w:rFonts w:ascii="Arial" w:hAnsi="Arial"/>
          <w:i/>
          <w:sz w:val="18"/>
        </w:rPr>
        <w:t>United States v. Williams</w:t>
      </w:r>
      <w:r>
        <w:rPr>
          <w:rFonts w:ascii="Arial" w:hAnsi="Arial"/>
          <w:sz w:val="18"/>
        </w:rPr>
        <w:t>, 553 U.S. 285, 297-99 (2008).</w:t>
      </w:r>
    </w:p>
  </w:footnote>
  <w:footnote w:id="166">
    <w:p w14:paraId="46A5C8F3" w14:textId="77777777" w:rsidR="00805402" w:rsidRDefault="00000000">
      <w:pPr>
        <w:spacing w:after="60"/>
      </w:pPr>
      <w:r>
        <w:rPr>
          <w:rFonts w:ascii="Arial" w:hAnsi="Arial"/>
          <w:sz w:val="18"/>
          <w:vertAlign w:val="superscript"/>
        </w:rPr>
        <w:footnoteRef/>
      </w:r>
      <w:r>
        <w:rPr>
          <w:rFonts w:ascii="Arial" w:hAnsi="Arial"/>
          <w:sz w:val="18"/>
        </w:rPr>
        <w:t xml:space="preserve"> See supra Part III.A.</w:t>
      </w:r>
    </w:p>
  </w:footnote>
  <w:footnote w:id="167">
    <w:p w14:paraId="611ADE8D"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Bolger v. Youngs Drug Prods. Corp.</w:t>
      </w:r>
      <w:r>
        <w:rPr>
          <w:rFonts w:ascii="Arial" w:hAnsi="Arial"/>
          <w:sz w:val="18"/>
        </w:rPr>
        <w:t>, 463 U.S. 60, 66-67 (1983).</w:t>
      </w:r>
    </w:p>
  </w:footnote>
  <w:footnote w:id="168">
    <w:p w14:paraId="5ED8C3FA"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Rogers v. Grimaldi</w:t>
      </w:r>
      <w:r>
        <w:rPr>
          <w:rFonts w:ascii="Arial" w:hAnsi="Arial"/>
          <w:sz w:val="18"/>
        </w:rPr>
        <w:t>, 875 F.2d 994, 999 (2d Cir. 1989).</w:t>
      </w:r>
    </w:p>
  </w:footnote>
  <w:footnote w:id="169">
    <w:p w14:paraId="3CE33838"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Id.</w:t>
      </w:r>
      <w:r>
        <w:rPr>
          <w:rFonts w:ascii="Arial" w:hAnsi="Arial"/>
          <w:sz w:val="18"/>
        </w:rPr>
        <w:t xml:space="preserve"> at 999 (liability where a title "explicitly misleads as to the source"); </w:t>
      </w:r>
      <w:r>
        <w:rPr>
          <w:rFonts w:ascii="Arial" w:hAnsi="Arial"/>
          <w:i/>
          <w:sz w:val="18"/>
        </w:rPr>
        <w:t>Jack Daniel's Props.</w:t>
      </w:r>
      <w:r>
        <w:rPr>
          <w:rFonts w:ascii="Arial" w:hAnsi="Arial"/>
          <w:sz w:val="18"/>
        </w:rPr>
        <w:t>, Inc. v. VIP Prods. LLC, 599 U.S. 140, 155-57 (2023).</w:t>
      </w:r>
    </w:p>
  </w:footnote>
  <w:footnote w:id="170">
    <w:p w14:paraId="73F0937C"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Friedman v. Rogers</w:t>
      </w:r>
      <w:r>
        <w:rPr>
          <w:rFonts w:ascii="Arial" w:hAnsi="Arial"/>
          <w:sz w:val="18"/>
        </w:rPr>
        <w:t>, 440 U.S. 1, 12, 15 (1979).</w:t>
      </w:r>
    </w:p>
  </w:footnote>
  <w:footnote w:id="171">
    <w:p w14:paraId="6F56DF6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Central Hudson Gas &amp; Electric Corp. v. Public Service Commission</w:t>
      </w:r>
      <w:r>
        <w:rPr>
          <w:rFonts w:ascii="Arial" w:hAnsi="Arial"/>
          <w:sz w:val="18"/>
        </w:rPr>
        <w:t>, 447 U.S. 557, 566 (1980).</w:t>
      </w:r>
    </w:p>
  </w:footnote>
  <w:footnote w:id="172">
    <w:p w14:paraId="72C546B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Reed v. Town of Gilbert</w:t>
      </w:r>
      <w:r>
        <w:rPr>
          <w:rFonts w:ascii="Arial" w:hAnsi="Arial"/>
          <w:sz w:val="18"/>
        </w:rPr>
        <w:t>, 576 U.S. 155, 163-64 (2015).</w:t>
      </w:r>
    </w:p>
  </w:footnote>
  <w:footnote w:id="173">
    <w:p w14:paraId="15369B4C"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281 Care Comm.</w:t>
      </w:r>
      <w:r>
        <w:rPr>
          <w:rFonts w:ascii="Arial" w:hAnsi="Arial"/>
          <w:sz w:val="18"/>
        </w:rPr>
        <w:t xml:space="preserve">, supra note 143, at 785; </w:t>
      </w:r>
      <w:r>
        <w:rPr>
          <w:rFonts w:ascii="Arial" w:hAnsi="Arial"/>
          <w:i/>
          <w:sz w:val="18"/>
        </w:rPr>
        <w:t>Susan B. Anthony List</w:t>
      </w:r>
      <w:r>
        <w:rPr>
          <w:rFonts w:ascii="Arial" w:hAnsi="Arial"/>
          <w:sz w:val="18"/>
        </w:rPr>
        <w:t>, supra note 143.</w:t>
      </w:r>
    </w:p>
  </w:footnote>
  <w:footnote w:id="174">
    <w:p w14:paraId="6AF06ABA"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Citizens United</w:t>
      </w:r>
      <w:r>
        <w:rPr>
          <w:rFonts w:ascii="Arial" w:hAnsi="Arial"/>
          <w:sz w:val="18"/>
        </w:rPr>
        <w:t>, supra note 144, at 366-71.</w:t>
      </w:r>
    </w:p>
  </w:footnote>
  <w:footnote w:id="175">
    <w:p w14:paraId="243B63A6"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Eldred v. Ashcroft</w:t>
      </w:r>
      <w:r>
        <w:rPr>
          <w:rFonts w:ascii="Arial" w:hAnsi="Arial"/>
          <w:sz w:val="18"/>
        </w:rPr>
        <w:t xml:space="preserve">, 537 U.S. 186, 218-21 (2003); </w:t>
      </w:r>
      <w:r>
        <w:rPr>
          <w:rFonts w:ascii="Arial" w:hAnsi="Arial"/>
          <w:i/>
          <w:sz w:val="18"/>
        </w:rPr>
        <w:t>Golan v. Holder</w:t>
      </w:r>
      <w:r>
        <w:rPr>
          <w:rFonts w:ascii="Arial" w:hAnsi="Arial"/>
          <w:sz w:val="18"/>
        </w:rPr>
        <w:t>, 565 U.S. 302, 327-33 (2012).</w:t>
      </w:r>
    </w:p>
  </w:footnote>
  <w:footnote w:id="176">
    <w:p w14:paraId="156A975F" w14:textId="77777777" w:rsidR="00805402" w:rsidRDefault="00000000">
      <w:pPr>
        <w:spacing w:after="60"/>
      </w:pPr>
      <w:r>
        <w:rPr>
          <w:rFonts w:ascii="Arial" w:hAnsi="Arial"/>
          <w:sz w:val="18"/>
          <w:vertAlign w:val="superscript"/>
        </w:rPr>
        <w:footnoteRef/>
      </w:r>
      <w:r>
        <w:rPr>
          <w:rFonts w:ascii="Arial" w:hAnsi="Arial"/>
          <w:sz w:val="18"/>
        </w:rPr>
        <w:t xml:space="preserve"> See supra Part VIII.C; 17 U.S.C. § 201(b).</w:t>
      </w:r>
    </w:p>
  </w:footnote>
  <w:footnote w:id="177">
    <w:p w14:paraId="353DD69A" w14:textId="77777777" w:rsidR="00805402" w:rsidRDefault="00000000">
      <w:pPr>
        <w:spacing w:after="60"/>
      </w:pPr>
      <w:r>
        <w:rPr>
          <w:rFonts w:ascii="Arial" w:hAnsi="Arial"/>
          <w:sz w:val="18"/>
          <w:vertAlign w:val="superscript"/>
        </w:rPr>
        <w:footnoteRef/>
      </w:r>
      <w:r>
        <w:rPr>
          <w:rFonts w:ascii="Arial" w:hAnsi="Arial"/>
          <w:sz w:val="18"/>
        </w:rPr>
        <w:t xml:space="preserve"> </w:t>
      </w:r>
      <w:r>
        <w:rPr>
          <w:rFonts w:ascii="Arial" w:hAnsi="Arial"/>
          <w:i/>
          <w:sz w:val="18"/>
        </w:rPr>
        <w:t>Roddy-Eden</w:t>
      </w:r>
      <w:r>
        <w:rPr>
          <w:rFonts w:ascii="Arial" w:hAnsi="Arial"/>
          <w:sz w:val="18"/>
        </w:rPr>
        <w:t>, supra note 6, at 599.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468913">
    <w:abstractNumId w:val="8"/>
  </w:num>
  <w:num w:numId="2" w16cid:durableId="990521432">
    <w:abstractNumId w:val="6"/>
  </w:num>
  <w:num w:numId="3" w16cid:durableId="1592661948">
    <w:abstractNumId w:val="5"/>
  </w:num>
  <w:num w:numId="4" w16cid:durableId="1044527160">
    <w:abstractNumId w:val="4"/>
  </w:num>
  <w:num w:numId="5" w16cid:durableId="1018505318">
    <w:abstractNumId w:val="7"/>
  </w:num>
  <w:num w:numId="6" w16cid:durableId="631374891">
    <w:abstractNumId w:val="3"/>
  </w:num>
  <w:num w:numId="7" w16cid:durableId="1240096488">
    <w:abstractNumId w:val="2"/>
  </w:num>
  <w:num w:numId="8" w16cid:durableId="1253710056">
    <w:abstractNumId w:val="1"/>
  </w:num>
  <w:num w:numId="9" w16cid:durableId="15180805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EFE"/>
    <w:rsid w:val="0015074B"/>
    <w:rsid w:val="001F30CC"/>
    <w:rsid w:val="002576AA"/>
    <w:rsid w:val="0029639D"/>
    <w:rsid w:val="00326F90"/>
    <w:rsid w:val="003475B1"/>
    <w:rsid w:val="004F1E8F"/>
    <w:rsid w:val="00805402"/>
    <w:rsid w:val="009E3F26"/>
    <w:rsid w:val="00A137FD"/>
    <w:rsid w:val="00AA1D8D"/>
    <w:rsid w:val="00B47730"/>
    <w:rsid w:val="00CB0664"/>
    <w:rsid w:val="00EA1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369F8"/>
  <w14:defaultImageDpi w14:val="300"/>
  <w15:docId w15:val="{5DACF5C2-D722-F748-808D-0141675C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16845</Words>
  <Characters>91811</Characters>
  <Application>Microsoft Office Word</Application>
  <DocSecurity>0</DocSecurity>
  <Lines>1350</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David Goldstein</cp:lastModifiedBy>
  <cp:revision>9</cp:revision>
  <dcterms:created xsi:type="dcterms:W3CDTF">2013-12-23T23:15:00Z</dcterms:created>
  <dcterms:modified xsi:type="dcterms:W3CDTF">2026-08-05T01:46:00Z</dcterms:modified>
  <cp:category/>
</cp:coreProperties>
</file>