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44546A"/>
          <w:sz w:val="42"/>
        </w:rPr>
        <w:t>Pipeline: How We Write a Paper</w:t>
      </w:r>
    </w:p>
    <w:p>
      <w:pPr>
        <w:jc w:val="center"/>
      </w:pPr>
      <w:r>
        <w:rPr>
          <w:rFonts w:ascii="Calibri" w:hAnsi="Calibri"/>
          <w:i/>
          <w:color w:val="555555"/>
          <w:sz w:val="21"/>
        </w:rPr>
        <w:t>The process Claude follows for every paper in the Deep Drafter. v1.0 — Shareable Edition, July 2026. Generalized from the original agent's pipeline after several complete papers; every standing rule below earned its place on a real draft.</w:t>
      </w:r>
    </w:p>
    <w:p>
      <w:pPr>
        <w:spacing w:before="80" w:after="160"/>
        <w:ind w:left="72" w:right="72"/>
        <w:shd w:val="clear" w:color="auto" w:fill="EFEFEF"/>
        <w:pBdr>
          <w:top w:val="single" w:sz="6" w:space="6" w:color="9A9A9A"/>
          <w:left w:val="single" w:sz="6" w:space="6" w:color="9A9A9A"/>
          <w:bottom w:val="single" w:sz="6" w:space="6" w:color="9A9A9A"/>
          <w:right w:val="single" w:sz="6" w:space="6" w:color="9A9A9A"/>
        </w:pBdr>
      </w:pPr>
      <w:r>
        <w:rPr>
          <w:b w:val="0"/>
          <w:i/>
          <w:color w:val="333333"/>
          <w:sz w:val="19"/>
        </w:rPr>
        <w:t>HOW TO USE THIS DOC. This is the operating procedure for drafting an academic paper with the author. Claude follows these stages in order. After producing each deliverable Claude runs its own lenses (A/E/S/I), invokes any specialist agents the stage calls for, then the AUDITOR gate at the RESERVED gates only (early stages, first draft, every author round, final) — elsewhere a deterministic self-check on the Change Log stands in for it — and stops at each gate until APPROVE (and, at the human checkpoints, until the author signs off). We work OUTLINE-FIRST: the outline is built in three layers and the paragraph layer is the DRAFTING CONTRACT — no prose until it is signed off. Drafting lands at FULL DENSITY (Stage 4), quality passes remove what is bad and add what is good (Stage 5), and the Style &amp; Voice pass makes every sentence the author's (Stage 6) — only then does the author read (Stage 7, GATE 3); substantive quality comes from the referee panel (Stage 8). The accountability mechanism is the Project Checklist (created FIRST, never pre-filled) plus the independent auditor.</w:t>
      </w:r>
    </w:p>
    <w:p>
      <w:pPr>
        <w:pStyle w:val="Heading1"/>
        <w:pBdr>
          <w:bottom w:val="single" w:sz="8" w:space="4" w:color="44546A"/>
        </w:pBdr>
      </w:pPr>
      <w:r>
        <w:t>Guiding principles</w:t>
      </w:r>
    </w:p>
    <w:p>
      <w:pPr>
        <w:pStyle w:val="ListBullet"/>
      </w:pPr>
      <w:r>
        <w:rPr>
          <w:b w:val="0"/>
          <w:i w:val="0"/>
        </w:rPr>
        <w:t>Outline first, in layers; lock structure before prose. Restructuring an outline is cheap; restructuring prose is ~10× more expensive in time and author attention. Do the structural work where it is cheap.</w:t>
      </w:r>
    </w:p>
    <w:p>
      <w:pPr>
        <w:pStyle w:val="ListBullet"/>
      </w:pPr>
      <w:r>
        <w:rPr>
          <w:b w:val="0"/>
          <w:i w:val="0"/>
        </w:rPr>
        <w:t>Build a FAT outline (~30–40% of final length). A useful outline for a 25k-word paper is ~8–10k words of structured bullets — roughly the information density of the final paper, in bullet form. A thin outline guarantees expensive restructuring later. Err toward more detail.</w:t>
      </w:r>
    </w:p>
    <w:p>
      <w:pPr>
        <w:pStyle w:val="ListBullet"/>
      </w:pPr>
      <w:r>
        <w:rPr>
          <w:b w:val="0"/>
          <w:i w:val="0"/>
        </w:rPr>
        <w:t>The paragraph outline is the drafting contract. Once it is approved, drafting is mostly expansion into prose. Write no prose until it is signed off (Human Gate 2).</w:t>
      </w:r>
    </w:p>
    <w:p>
      <w:pPr>
        <w:pStyle w:val="ListBullet"/>
      </w:pPr>
      <w:r>
        <w:rPr>
          <w:b w:val="0"/>
          <w:i w:val="0"/>
        </w:rPr>
        <w:t>Separate mechanical drafting from quality work. One pass converts each bullet to its paragraph with NO polishing; quality is its own separate set of passes. Mixing them yields uneven sections.</w:t>
      </w:r>
    </w:p>
    <w:p>
      <w:pPr>
        <w:pStyle w:val="ListBullet"/>
      </w:pPr>
      <w:r>
        <w:rPr>
          <w:b w:val="0"/>
          <w:i w:val="0"/>
        </w:rPr>
        <w:t>Quality passes improve the paper in both directions: remove stuff that is bad and add stuff that is good — where 'good' includes explanation, examples, stylistic material, and NEW ARGUMENTS. Cut editorializing, repetition, and decoration; add whatever makes the paper better. Length is an outcome of those two duties, not a pass constraint; the target length is managed at Stage 10, never by starving the paper.</w:t>
      </w:r>
    </w:p>
    <w:p>
      <w:pPr>
        <w:pStyle w:val="ListBullet"/>
      </w:pPr>
      <w:r>
        <w:rPr>
          <w:b w:val="0"/>
          <w:i w:val="0"/>
        </w:rPr>
        <w:t>An independent auditor gates the RESERVED gates — integrity only. Its sole job is to verify, against the files, that the work a checklist row claims as done was genuinely done — reserved for the early stages, the first draft, every author round, and the final check. On the agent's own incremental revisions a deterministic self-check on the Change Log (isolation diff + verify scripts) stands in for it. It does NOT judge quality. You may not pass a reserved gate until it APPROVES. (It exists because agents otherwise record steps as done without doing them.)</w:t>
      </w:r>
    </w:p>
    <w:p>
      <w:pPr>
        <w:pStyle w:val="ListBullet"/>
      </w:pPr>
      <w:r>
        <w:rPr>
          <w:b w:val="0"/>
          <w:i w:val="0"/>
        </w:rPr>
        <w:t>Quality is enforced by specialist agents: the multi-persona REFEREE panel (simulated peer review, spawned BLIND — each referee gets only its lens, the manuscript, and the venue, never a claim-summary or leading questions), the CITATION-AUDITOR (no fabricated cites; verified pinpoints), and the COPY-CRITIC (mistakes + anti-LLM tics). Invoke them where the stages below say to.</w:t>
      </w:r>
    </w:p>
    <w:p>
      <w:pPr>
        <w:pStyle w:val="ListBullet"/>
      </w:pPr>
      <w:r>
        <w:rPr>
          <w:b w:val="0"/>
          <w:i w:val="0"/>
        </w:rPr>
        <w:t>The author's edits set DIRECTION — they are not frozen text. Anyone may improve author-touched text further. What is FORBIDDEN is regression: never revert, in substance or wording, to a formulation the author already overruled — the author's deletions and replacements define the overruled set, recorded in the Change Logs and the returned '- edits' files. Before changing author-touched text, check the change against that record; improvements to the author's text are surfaced in the version's changelog so the trajectory is visible. The test is monotonic improvement: continuing to improve rather than going in circles.</w:t>
      </w:r>
    </w:p>
    <w:p>
      <w:pPr>
        <w:pStyle w:val="ListBullet"/>
      </w:pPr>
      <w:r>
        <w:rPr>
          <w:b w:val="0"/>
          <w:i w:val="0"/>
        </w:rPr>
        <w:t>Word documents; never overwrite; version at gates. Every deliverable is a .docx (author-facing paper drafts with gen_paper_docx; structured working docs with gen_docx; edit prose docs in place). Each gated revision is a new numbered version; superseded versions move to Old versions/. Build .pdf/.tex only at submission and only when the type calls for it.</w:t>
      </w:r>
    </w:p>
    <w:p>
      <w:pPr>
        <w:pStyle w:val="ListBullet"/>
      </w:pPr>
      <w:r>
        <w:rPr>
          <w:b w:val="0"/>
          <w:i w:val="0"/>
        </w:rPr>
        <w:t>Never fabricate — not work, not sources. Ground every claim about the literature in the real PDFs in Background Readings/, not training memory (unreliable on secondary literature and pinpoints). During drafting, citations are honest placeholders — '(Smith 2024)' — and every empirical claim gets a (verify) tag the citation-auditor later checks.</w:t>
      </w:r>
    </w:p>
    <w:p>
      <w:pPr>
        <w:pStyle w:val="ListBullet"/>
      </w:pPr>
      <w:r>
        <w:rPr>
          <w:b w:val="0"/>
          <w:i w:val="0"/>
        </w:rPr>
        <w:t>Match the target venue's register. The Writing Guide is the shared core; the paper-type Style Module sets length, citation/footnote practice, structure, and register (a philosophy journal ≠ a law review ≠ a monograph ≠ an empirical venue).</w:t>
      </w:r>
    </w:p>
    <w:p>
      <w:pPr>
        <w:pStyle w:val="ListBullet"/>
      </w:pPr>
      <w:r>
        <w:rPr>
          <w:b w:val="0"/>
          <w:i w:val="0"/>
        </w:rPr>
        <w:t>Self-critique before showing the author, and surface judgment calls. Present your best work, not first drafts of your reasoning; when choosing between two defensible options (framing, terminology, emphasis), surface the choice rather than deciding silently. Prefer cutting or footnoting to hedging.</w:t>
      </w:r>
    </w:p>
    <w:p>
      <w:pPr>
        <w:pStyle w:val="ListBullet"/>
      </w:pPr>
      <w:r>
        <w:rPr>
          <w:b w:val="0"/>
          <w:i w:val="0"/>
        </w:rPr>
        <w:t>Four human checkpoints — Argument Sketch, Plan, Paragraph Outline, the voiced Draft — plus the author-owned Finish gate, unless the author says 'run straight through' (fully autonomous, auditor-only). Tier the effort: the fat outline, the draft, and the referee rounds are HIGH tier and get the closest scrutiny.</w:t>
      </w:r>
    </w:p>
    <w:p>
      <w:pPr>
        <w:pStyle w:val="Heading1"/>
        <w:pBdr>
          <w:bottom w:val="single" w:sz="8" w:space="4" w:color="44546A"/>
        </w:pBdr>
      </w:pPr>
      <w:r>
        <w:t>Structural design principles (defaults for argumentative papers — confirmed or replaced at setup)</w:t>
      </w:r>
    </w:p>
    <w:p>
      <w:r>
        <w:rPr>
          <w:b w:val="0"/>
          <w:i w:val="0"/>
        </w:rPr>
        <w:t>These emerged as load-bearing for strongly argumentative papers (philosophy, law, argumentative social science). They shape the outline and the draft. Empirical and narrative genres replace the section-structure defaults with their Style Module's conventions; the thesis-front-loading and concreteness principles survive almost everywhere.</w:t>
      </w:r>
    </w:p>
    <w:p>
      <w:pPr>
        <w:pStyle w:val="ListBullet"/>
      </w:pPr>
      <w:r>
        <w:rPr>
          <w:b w:val="0"/>
          <w:i w:val="0"/>
        </w:rPr>
        <w:t>~3–5 arguments per section/subsection, each its own paragraph, explicitly numbered ("First… Second… Third…"). Depends on the argumentation — don't pad to hit a count.</w:t>
      </w:r>
    </w:p>
    <w:p>
      <w:pPr>
        <w:pStyle w:val="ListBullet"/>
      </w:pPr>
      <w:r>
        <w:rPr>
          <w:b w:val="0"/>
          <w:i w:val="0"/>
        </w:rPr>
        <w:t>Named arguments with stable labels (1–3 words), reused verbatim across abstract, intro, body headings, cross-references, and conclusion.</w:t>
      </w:r>
    </w:p>
    <w:p>
      <w:pPr>
        <w:pStyle w:val="ListBullet"/>
      </w:pPr>
      <w:r>
        <w:rPr>
          <w:b w:val="0"/>
          <w:i w:val="0"/>
        </w:rPr>
        <w:t>Interleaved objections, plus a dedicated section for the 1–3 largest cross-cutting ones. Local objections live with their argument; only whole-thesis objections get their own section. Brief steelman, then direct response. Don't over-compress objections into a one-sided polemic; don't pad them either.</w:t>
      </w:r>
    </w:p>
    <w:p>
      <w:pPr>
        <w:pStyle w:val="ListBullet"/>
      </w:pPr>
      <w:r>
        <w:rPr>
          <w:b w:val="0"/>
          <w:i w:val="0"/>
        </w:rPr>
        <w:t>A concrete example, name, case, or number in every paragraph. Abstract claims need anchor points; historical precedents are powerful when the topic is novel.</w:t>
      </w:r>
    </w:p>
    <w:p>
      <w:pPr>
        <w:pStyle w:val="ListBullet"/>
      </w:pPr>
      <w:r>
        <w:rPr>
          <w:b w:val="0"/>
          <w:i w:val="0"/>
        </w:rPr>
        <w:t>Front-loaded thesis — it appears in the abstract, the first paragraph of the introduction, and the first paragraph of the body. A reader who stops after page one knows exactly what the paper argues.</w:t>
      </w:r>
    </w:p>
    <w:p>
      <w:pPr>
        <w:pStyle w:val="ListBullet"/>
      </w:pPr>
      <w:r>
        <w:rPr>
          <w:b w:val="0"/>
          <w:i w:val="0"/>
        </w:rPr>
        <w:t>Stable section numbers; resolve cross-references in one verified pass. No "what we're not going to discuss" bullets; no verbal disputes (pick a meaning, state it, move on).</w:t>
      </w:r>
    </w:p>
    <w:p>
      <w:pPr>
        <w:pStyle w:val="Heading1"/>
        <w:pBdr>
          <w:bottom w:val="single" w:sz="8" w:space="4" w:color="44546A"/>
        </w:pBdr>
      </w:pPr>
      <w:r>
        <w:t>The agents</w:t>
      </w:r>
    </w:p>
    <w:p>
      <w:pPr>
        <w:pStyle w:val="Heading2"/>
      </w:pPr>
      <w:r>
        <w:t>The auditor — the integrity gate at the reserved gates</w:t>
      </w:r>
    </w:p>
    <w:p>
      <w:r>
        <w:rPr>
          <w:b w:val="0"/>
          <w:i w:val="0"/>
        </w:rPr>
        <w:t>The paper-auditor subagent (.claude/agents/paper-auditor.md) is the honesty gate. Claude builds the paper; the auditor decides whether each stage's claimed work was actually done before Claude may move on. It is RESERVED for the high-value gates (early stages, first draft, every author round, final); on Claude's own incremental revisions, a deterministic self-check on the Change Log stands in for it.</w:t>
      </w:r>
    </w:p>
    <w:p>
      <w:pPr>
        <w:pStyle w:val="ListBullet"/>
      </w:pPr>
      <w:r>
        <w:rPr>
          <w:b w:val="0"/>
          <w:i w:val="0"/>
        </w:rPr>
        <w:t>After producing a deliverable AND running your own lenses (and any specialist passes the stage calls for), spawn the paper-auditor (Agent tool, subagent_type: paper-auditor). Tell it the STAGE and the file path(s). Keep using the SAME auditor across stages (continue it) so it accrues context — but it must re-derive findings from the files each time, not from memory.</w:t>
      </w:r>
    </w:p>
    <w:p>
      <w:pPr>
        <w:pStyle w:val="ListBullet"/>
      </w:pPr>
      <w:r>
        <w:rPr>
          <w:b w:val="0"/>
          <w:i w:val="0"/>
        </w:rPr>
        <w:t>If the verdict is REVISE, do every required fix, then re-audit. Only on VERDICT: APPROVE do you record the gate row (paste the verdict line) and proceed.</w:t>
      </w:r>
    </w:p>
    <w:p>
      <w:pPr>
        <w:pStyle w:val="ListBullet"/>
      </w:pPr>
      <w:r>
        <w:rPr>
          <w:b w:val="0"/>
          <w:i w:val="0"/>
        </w:rPr>
        <w:t>The auditor judges ONLY whether the work happened (counts, diffs, artifact existence). Whether the argument is good, a citation correct, the prose clean — that is the specialists' job, below.</w:t>
      </w:r>
    </w:p>
    <w:p>
      <w:pPr>
        <w:pStyle w:val="ListBullet"/>
      </w:pPr>
      <w:r>
        <w:rPr>
          <w:b w:val="0"/>
          <w:i w:val="0"/>
        </w:rPr>
        <w:t>Model tiering: procedural audits (file/count/diff/anchor checks, protocol verification, re-checks of specified fixes) run on a cheaper model so they never leave the author waiting; the stronger default model is reserved for judgment audits (did an intellectual round genuinely happen; is a reconciliation sound).</w:t>
      </w:r>
    </w:p>
    <w:p>
      <w:pPr>
        <w:pStyle w:val="Heading2"/>
      </w:pPr>
      <w:r>
        <w:t>The specialist quality agents — when to call them</w:t>
      </w:r>
    </w:p>
    <w:p>
      <w:pPr>
        <w:pStyle w:val="ListBullet"/>
      </w:pPr>
      <w:r>
        <w:rPr>
          <w:b w:val="0"/>
          <w:i w:val="0"/>
        </w:rPr>
        <w:t>referee (referee.md) — at Stage 8, spawn THREE in parallel (the paper type's fixed lens trio), each BLIND (lens + manuscript + venue only; no claim-summary, no leading questions — use the prompts in Referee Templates/), reading the manuscript INCLUDING footnotes; implement the consensus (≥2 referees) but read the TRAJECTORY and specific issues, not the accept/R&amp;R label (AI referees almost never say 'accept'); add one 'case-for-acceptance' reader; cap at two substantive rounds plus a blind pre-submission read. Also spawn ONE referee as a 'review memo' on the paragraph outline at 3C before the drafting-contract sign-off.</w:t>
      </w:r>
    </w:p>
    <w:p>
      <w:pPr>
        <w:pStyle w:val="ListBullet"/>
      </w:pPr>
      <w:r>
        <w:rPr>
          <w:b w:val="0"/>
          <w:i w:val="0"/>
        </w:rPr>
        <w:t>citation-auditor (citation-auditor.md) — at Stage 10: at least once before the first referee round and once before submission, and on any newly added or referee-suggested citation.</w:t>
      </w:r>
    </w:p>
    <w:p>
      <w:pPr>
        <w:pStyle w:val="ListBullet"/>
      </w:pPr>
      <w:r>
        <w:rPr>
          <w:b w:val="0"/>
          <w:i w:val="0"/>
        </w:rPr>
        <w:t>copy-critic (copy-critic.md) — at Stage 10 for the anti-LLM prose pass and the pre-send review.</w:t>
      </w:r>
    </w:p>
    <w:p>
      <w:r>
        <w:rPr>
          <w:b w:val="0"/>
          <w:i w:val="0"/>
        </w:rPr>
        <w:t>All three specialists PROPOSE; Claude (or the author) disposes. They do not edit the paper; Claude applies the consensus/approved fixes, and the auditor then confirms the fixes were actually applied.</w:t>
      </w:r>
    </w:p>
    <w:p>
      <w:pPr>
        <w:pStyle w:val="Heading1"/>
        <w:pBdr>
          <w:bottom w:val="single" w:sz="8" w:space="4" w:color="44546A"/>
        </w:pBdr>
      </w:pPr>
      <w:r>
        <w:t>The review lenses (Claude's own self-review before each auditor gate)</w:t>
      </w:r>
    </w:p>
    <w:p>
      <w:r>
        <w:rPr>
          <w:b w:val="0"/>
          <w:i w:val="0"/>
        </w:rPr>
        <w:t>When a stage says "run the lenses," apply each named lens ONCE — a real read-critique-improve pass through a specific frame — and record its outcome on the Checklist with a verifiable artifact or a specific finding. "No-change (checked)" is fine; record what you checked. Then invoke specialists / the auditor.</w:t>
      </w:r>
    </w:p>
    <w:p>
      <w:pPr>
        <w:pStyle w:val="ListBullet"/>
      </w:pPr>
      <w:r>
        <w:rPr>
          <w:b w:val="0"/>
          <w:i w:val="0"/>
        </w:rPr>
        <w:t>A — Argument. Is each claim developed and valid? Is every objection steelmanned then answered? Any logical gap, any overclaim the argument doesn't earn? (Evidence: the gap closed, or the specific fix.)</w:t>
      </w:r>
    </w:p>
    <w:p>
      <w:pPr>
        <w:pStyle w:val="ListBullet"/>
      </w:pPr>
      <w:r>
        <w:rPr>
          <w:b w:val="0"/>
          <w:i w:val="0"/>
        </w:rPr>
        <w:t>E — Engagement. Are the key interlocutors from the Literature Map engaged, the paper positioned in its open niche, no straw men, no must-cite work ignored, no conflict with the authors' prior positions? (Evidence: the engagement added, or the Coverage-Map line.)</w:t>
      </w:r>
    </w:p>
    <w:p>
      <w:pPr>
        <w:pStyle w:val="ListBullet"/>
      </w:pPr>
      <w:r>
        <w:rPr>
          <w:b w:val="0"/>
          <w:i w:val="0"/>
        </w:rPr>
        <w:t>S — Style. Does it obey the Writing Guide — one move per sentence, no editorializing, no verbal disputes, no point repeated across sections, named-argument labels consistent, model-prose register? (Evidence: the specific edit, or "checked — conforms.")</w:t>
      </w:r>
    </w:p>
    <w:p>
      <w:pPr>
        <w:pStyle w:val="ListBullet"/>
      </w:pPr>
      <w:r>
        <w:rPr>
          <w:b w:val="0"/>
          <w:i w:val="0"/>
        </w:rPr>
        <w:t>I — Integrity. Is every empirical claim cited or (verify)-tagged, no fabricated citation, do all cross-references resolve, do the claims match the body ("we make four arguments" ⇒ four arguments)? (Evidence: the mismatch found and fixed.)</w:t>
      </w:r>
    </w:p>
    <w:p>
      <w:r>
        <w:rPr>
          <w:b w:val="0"/>
          <w:i w:val="0"/>
        </w:rPr>
        <w:t>The Plan uses A/E/S/I. The Literature Map uses E/I. 3A uses A/E; 3B and 3C and the Draft use all four. Length is NOT a per-round lens — it is one light pass in Stage 10.</w:t>
      </w:r>
    </w:p>
    <w:p>
      <w:pPr>
        <w:pStyle w:val="Heading1"/>
        <w:pBdr>
          <w:bottom w:val="single" w:sz="8" w:space="4" w:color="44546A"/>
        </w:pBdr>
      </w:pPr>
      <w:r>
        <w:t>Stage 0 — Setup (read everything first)</w:t>
      </w:r>
    </w:p>
    <w:p>
      <w:pPr>
        <w:pStyle w:val="ListBullet"/>
      </w:pPr>
      <w:r>
        <w:rPr>
          <w:b w:val="0"/>
          <w:i w:val="0"/>
        </w:rPr>
        <w:t>Argument Sketch first. The ideal starting input is the author's half-to-one-page Argument Sketch — the thesis plus the actual argumentative moves (premises, key steps, the intended payoff). It becomes the contract the Plan and outline must honor. When the author gives only a topic or a one-line thesis, the first deliverable is a PROPOSED sketch for sign-off BEFORE any outlining (correcting the architecture on one page is far cheaper than on a built outline — a real trial run had the plan's architecture wrong until a one-comment author correction fixed it; an up-front sketch makes that correction free). Save the signed-off sketch in Brief/. This is Human Checkpoint 0.</w:t>
      </w:r>
    </w:p>
    <w:p>
      <w:pPr>
        <w:pStyle w:val="ListBullet"/>
      </w:pPr>
      <w:r>
        <w:rPr>
          <w:b w:val="0"/>
          <w:i w:val="0"/>
        </w:rPr>
        <w:t>Intake FIRST — ask the author up front (don't make them remember to specify). Before scaffolding, ask the setup questions and let the answers drive everything, LEADING WITH THE PAPER TYPE (it selects the Style Module — length, citations, structure, register): type; title + one-sentence thesis; target venue + limit; target length (offer the type default); coauthors + author order (per the field's convention in the Context doc); model-prose anchor; hard-nos; autonomy (four gates / run straight through / every gate); and where the brief, readings, and model paper are. Use the interactive picker for the menu choices; record the answers in the Progress Log and the per-paper profile (Context §5).</w:t>
      </w:r>
    </w:p>
    <w:p>
      <w:pPr>
        <w:pStyle w:val="ListBullet"/>
      </w:pPr>
      <w:r>
        <w:rPr>
          <w:b w:val="0"/>
          <w:i w:val="0"/>
        </w:rPr>
        <w:t>Scaffold the project: run new_paper.py (or copy the Project Template) — this creates the paper's DEDICATED folder Papers/&lt;title&gt;/, and EVERYTHING for the paper lives inside it (brief, readings, outlines, drafts, reviews, scratch, build outputs — nothing scattered to the agent root). Create the Project Checklist FIRST and start the running Progress Log; drive the whole project from the checklist (never pre-filled).</w:t>
      </w:r>
    </w:p>
    <w:p>
      <w:pPr>
        <w:pStyle w:val="ListBullet"/>
      </w:pPr>
      <w:r>
        <w:rPr>
          <w:b w:val="0"/>
          <w:i w:val="0"/>
        </w:rPr>
        <w:t>Capture the Setup Contract: paper TYPE; target venue; target length (default by type); the division of labor (how aggressively to cut; whether the author or Claude does the Stage-9 substantive rewrite); and the model-prose anchor.</w:t>
      </w:r>
    </w:p>
    <w:p>
      <w:pPr>
        <w:pStyle w:val="ListBullet"/>
      </w:pPr>
      <w:r>
        <w:rPr>
          <w:b w:val="0"/>
          <w:i w:val="0"/>
        </w:rPr>
        <w:t>Read the core Writing Guide, the paper-type Style Module (and its field-register companion, if named), the Voice Profile, and the Context doc. Load the author's 1-page Brief (thesis; central arguments; target journal; word budget; 3–5 key sources) into Brief/, the real PDFs of the core interlocutors into Background Readings/ (convert to text), and a prior paper to imitate for voice into Model Prose/. Read the model prose carefully before starting.</w:t>
      </w:r>
    </w:p>
    <w:p>
      <w:pPr>
        <w:pStyle w:val="ListBullet"/>
      </w:pPr>
      <w:r>
        <w:rPr>
          <w:b w:val="0"/>
          <w:i w:val="0"/>
        </w:rPr>
        <w:t>Auditor gate — Setup: the auditor confirms the structure, checklist, brief, and reads are genuinely in place before Stage 1.</w:t>
      </w:r>
    </w:p>
    <w:p>
      <w:pPr>
        <w:pStyle w:val="Heading1"/>
        <w:pBdr>
          <w:bottom w:val="single" w:sz="8" w:space="4" w:color="44546A"/>
        </w:pBdr>
      </w:pPr>
      <w:r>
        <w:t>Stage 1 — Literature Review &amp; Positioning</w:t>
      </w:r>
    </w:p>
    <w:p>
      <w:pPr>
        <w:pStyle w:val="ListBullet"/>
      </w:pPr>
      <w:r>
        <w:rPr>
          <w:b w:val="0"/>
          <w:i w:val="0"/>
        </w:rPr>
        <w:t>Go find the literature — don't rely only on what's handed to you, and never on memory. Actively search out the relevant books and papers on the topic (WebSearch and scholarly sources): the key interlocutors, the canonical works, and the recent and opposing positions. Build a relevance-ranked reading list, then READ the most relevant for familiarization and to place the paper. When a needed source is paywalled or you cannot access it, FLAG it for the author to supply — never fabricate its contents or silently skip a load-bearing work.</w:t>
      </w:r>
    </w:p>
    <w:p>
      <w:pPr>
        <w:pStyle w:val="ListBullet"/>
      </w:pPr>
      <w:r>
        <w:rPr>
          <w:b w:val="0"/>
          <w:i w:val="0"/>
        </w:rPr>
        <w:t>Read every Background Reading carefully and produce per-source notes. Also research the authors' OWN prior published work — it informs voice and surfaces positions in their prior work that may conflict with this paper's thesis.</w:t>
      </w:r>
    </w:p>
    <w:p>
      <w:pPr>
        <w:pStyle w:val="ListBullet"/>
      </w:pPr>
      <w:r>
        <w:rPr>
          <w:b w:val="0"/>
          <w:i w:val="0"/>
        </w:rPr>
        <w:t>Produce the Literature Map: the existing critical/constructive landscape; who holds which live position; the OPEN NICHE this paper will occupy; the key interlocutors to engage; and candidate referees.</w:t>
      </w:r>
    </w:p>
    <w:p>
      <w:pPr>
        <w:pStyle w:val="ListBullet"/>
      </w:pPr>
      <w:r>
        <w:rPr>
          <w:b w:val="0"/>
          <w:i w:val="0"/>
        </w:rPr>
        <w:t>Run the lenses (E, I). Auditor gate — Lit Review.</w:t>
      </w:r>
    </w:p>
    <w:p>
      <w:pPr>
        <w:pStyle w:val="Heading1"/>
        <w:pBdr>
          <w:bottom w:val="single" w:sz="8" w:space="4" w:color="44546A"/>
        </w:pBdr>
      </w:pPr>
      <w:r>
        <w:t>Stage 2 — Plan (thesis-sharpening)   [HUMAN GATE 1]</w:t>
      </w:r>
    </w:p>
    <w:p>
      <w:pPr>
        <w:pStyle w:val="ListBullet"/>
      </w:pPr>
      <w:r>
        <w:rPr>
          <w:b w:val="0"/>
          <w:i w:val="0"/>
        </w:rPr>
        <w:t>Produce a research plan / thesis-sharpening doc: the thesis in its sharpest form; the analytic MOVE that makes the argument work, spelled out explicitly; a reason it is the sharpest version of the argument rather than just a version; a section-by-section outline with approximate word budgets (scaled to the target length); the dialectical structure (objections interleaved, dedicated, or both); the named-argument vocabulary; and the planned formal/technical apparatus, if any.</w:t>
      </w:r>
    </w:p>
    <w:p>
      <w:pPr>
        <w:pStyle w:val="ListBullet"/>
      </w:pPr>
      <w:r>
        <w:rPr>
          <w:b w:val="0"/>
          <w:i w:val="0"/>
        </w:rPr>
        <w:t>Run the lenses (A, E, S, I). Auditor gate — Plan.</w:t>
      </w:r>
    </w:p>
    <w:p>
      <w:pPr>
        <w:pStyle w:val="ListBullet"/>
      </w:pPr>
      <w:r>
        <w:rPr>
          <w:b w:val="0"/>
          <w:i w:val="0"/>
        </w:rPr>
        <w:t>Human sign-off — Plan [GATE 1]. The author reviews the thesis, the move, the angle, and the structure before any outline detail. This is the moment to redirect if the angle is wrong — changes here cost minutes; after drafting they cost hours. (Skipped on 'run straight through'.)</w:t>
      </w:r>
    </w:p>
    <w:p>
      <w:pPr>
        <w:pStyle w:val="Heading1"/>
        <w:pBdr>
          <w:bottom w:val="single" w:sz="8" w:space="4" w:color="44546A"/>
        </w:pBdr>
      </w:pPr>
      <w:r>
        <w:t>Stage 3 — Layered Outline (3A → 3B → 3C; the fat outline)   [HUMAN GATE 2 at 3C]</w:t>
      </w:r>
    </w:p>
    <w:p>
      <w:r>
        <w:rPr>
          <w:b w:val="0"/>
          <w:i w:val="0"/>
        </w:rPr>
        <w:t>The outline is built in three layers, each more detailed than the last, each gated. This is the load-bearing stage — get the structure and the coverage right here, in bullets, where it is cheap to change. (For empirical papers the outline is organized around the analyses, figures, and tables — the results are the spine; see the Style Module.)</w:t>
      </w:r>
    </w:p>
    <w:p>
      <w:pPr>
        <w:pStyle w:val="Heading2"/>
      </w:pPr>
      <w:r>
        <w:t>3A — Skeleton outline</w:t>
      </w:r>
    </w:p>
    <w:p>
      <w:pPr>
        <w:pStyle w:val="ListBullet"/>
      </w:pPr>
      <w:r>
        <w:rPr>
          <w:b w:val="0"/>
          <w:i w:val="0"/>
        </w:rPr>
        <w:t>Lay out the top-level parts/chapters: what each covers, in what order. Run lenses (A, E). Auditor gate — 3A.</w:t>
      </w:r>
    </w:p>
    <w:p>
      <w:pPr>
        <w:pStyle w:val="Heading2"/>
      </w:pPr>
      <w:r>
        <w:t>3B — Argument outline</w:t>
      </w:r>
    </w:p>
    <w:p>
      <w:pPr>
        <w:pStyle w:val="ListBullet"/>
      </w:pPr>
      <w:r>
        <w:rPr>
          <w:b w:val="0"/>
          <w:i w:val="0"/>
        </w:rPr>
        <w:t>Expand each section premise-by-premise: 3–5 sub-arguments per subsection, each as its own bullet, with the intended example/evidence attached and the relevant source named; place objections (interleaved vs dedicated per the Plan); flag cross-references to resolve later. Run lenses (A, E, S, I). Auditor gate — 3B.</w:t>
      </w:r>
    </w:p>
    <w:p>
      <w:pPr>
        <w:pStyle w:val="Heading2"/>
      </w:pPr>
      <w:r>
        <w:t>3C — Paragraph outline (the FAT outline / drafting contract)   [HIGH tier]</w:t>
      </w:r>
    </w:p>
    <w:p>
      <w:pPr>
        <w:pStyle w:val="ListBullet"/>
      </w:pPr>
      <w:r>
        <w:rPr>
          <w:b w:val="0"/>
          <w:i w:val="0"/>
        </w:rPr>
        <w:t>v0.1 — first pass. Expand 3B into a paragraph-level outline: one bullet per planned paragraph (~30–40% of final length), each bullet ≈ a 100–150-word drafted paragraph, carrying its claim, its example, and any (verify)-tagged empirical claim; use named-argument labels and stable section numbers. Run lenses.</w:t>
      </w:r>
    </w:p>
    <w:p>
      <w:pPr>
        <w:pStyle w:val="ListBullet"/>
      </w:pPr>
      <w:r>
        <w:rPr>
          <w:b w:val="0"/>
          <w:i w:val="0"/>
        </w:rPr>
        <w:t>v0.2 — round 1 (completeness / rigor). Map every central argument and every major objection to specific bullets; build the Argument &amp; Objection Coverage Map (one row per argument/objection → where it is made/answered → Covered/Partial/Gap); close every gap with new bullets. Auditor gate — 3C round 1 (a genuine, broad expansion vs v0.1; coverage complete).</w:t>
      </w:r>
    </w:p>
    <w:p>
      <w:pPr>
        <w:pStyle w:val="ListBullet"/>
      </w:pPr>
      <w:r>
        <w:rPr>
          <w:b w:val="0"/>
          <w:i w:val="0"/>
        </w:rPr>
        <w:t>v0.3 — round 2 (literature engagement). Re-read the Literature Map; ensure every key interlocutor is engaged as bullets, the positioning vs the niche is solid, and any conflict with the authors' prior work is handled. Auditor gate — 3C round 2 (a genuine engagement expansion vs v0.2).</w:t>
      </w:r>
    </w:p>
    <w:p>
      <w:pPr>
        <w:pStyle w:val="ListBullet"/>
      </w:pPr>
      <w:r>
        <w:rPr>
          <w:b w:val="0"/>
          <w:i w:val="0"/>
        </w:rPr>
        <w:t>Confirm the outline is dense enough to draft from (fat, not padded) and run lenses (A, E, S, I). Iterate with the author: apply bracketed [initials:] inline comments VERBATIM; iterate to convergence (stop when the author's comments get shorter and more local — typo-level rather than structural).</w:t>
      </w:r>
    </w:p>
    <w:p>
      <w:pPr>
        <w:pStyle w:val="ListBullet"/>
      </w:pPr>
      <w:r>
        <w:rPr>
          <w:b w:val="0"/>
          <w:i w:val="0"/>
        </w:rPr>
        <w:t>Spawn ONE referee as a Review Memo on the paragraph outline: ranked vulnerabilities, the strongest missing objection, factual landmines, and the weakest lines — referee proposes, author disposes, accepted items folded in with a note of which were taken. Auditor gate — 3C FINAL (outline complete, coverage mapped, dense; the review memo was produced and its accepted dispositions applied).</w:t>
      </w:r>
    </w:p>
    <w:p>
      <w:pPr>
        <w:pStyle w:val="ListBullet"/>
      </w:pPr>
      <w:r>
        <w:rPr>
          <w:b w:val="0"/>
          <w:i w:val="0"/>
        </w:rPr>
        <w:t>Human sign-off — Paragraph Outline = the DRAFTING CONTRACT [GATE 2]. Hold drafting until the author signs off. (Skipped on 'run straight through'.)</w:t>
      </w:r>
    </w:p>
    <w:p>
      <w:pPr>
        <w:pStyle w:val="Heading1"/>
        <w:pBdr>
          <w:bottom w:val="single" w:sz="8" w:space="4" w:color="44546A"/>
        </w:pBdr>
      </w:pPr>
      <w:r>
        <w:t>Stage 4 — First Prose Draft (full density)   [HIGH tier]</w:t>
      </w:r>
    </w:p>
    <w:p>
      <w:pPr>
        <w:pStyle w:val="ListBullet"/>
      </w:pPr>
      <w:r>
        <w:rPr>
          <w:b w:val="0"/>
          <w:i w:val="0"/>
        </w:rPr>
        <w:t>Convert the locked fat outline to full prose in a SINGLE pass, at FULL DENSITY: write each bullet's paragraph(s) to its Part's word budget — the draft lands at target length, not at outline length (mechanical 'expand each bullet a fixed ratio' rules under-produce at scale and were retired on a real run). Preserve structure exactly (do not restructure); match the model prose in voice and density; keep citations as placeholders. Do NO quality work in this pass — that is Stage 5. Save as Draft v1.0.</w:t>
      </w:r>
    </w:p>
    <w:p>
      <w:pPr>
        <w:pStyle w:val="ListBullet"/>
      </w:pPr>
      <w:r>
        <w:rPr>
          <w:b w:val="0"/>
          <w:i w:val="0"/>
        </w:rPr>
        <w:t>Run lens I (every bullet covered; nothing skipped; cross-refs noted). Auditor gate — Draft v1.0 (full bullet-to-paragraph coverage; no section skipped).</w:t>
      </w:r>
    </w:p>
    <w:p>
      <w:pPr>
        <w:pStyle w:val="ListBullet"/>
      </w:pPr>
      <w:r>
        <w:rPr>
          <w:b w:val="0"/>
          <w:i w:val="0"/>
        </w:rPr>
        <w:t>NO author read at this stage: once the author has vector-corrected at the outline gate, they see only best work. The author's read is Stage 7 [GATE 3], after the quality passes (Stage 5) and the full Style &amp; Voice pass (Stage 6).</w:t>
      </w:r>
    </w:p>
    <w:p>
      <w:pPr>
        <w:pStyle w:val="Heading1"/>
        <w:pBdr>
          <w:bottom w:val="single" w:sz="8" w:space="4" w:color="44546A"/>
        </w:pBdr>
      </w:pPr>
      <w:r>
        <w:t>Stage 5 — Quality passes (against the Writing Guide)   [HIGH tier]</w:t>
      </w:r>
    </w:p>
    <w:p>
      <w:pPr>
        <w:pStyle w:val="ListBullet"/>
      </w:pPr>
      <w:r>
        <w:rPr>
          <w:b w:val="0"/>
          <w:i w:val="0"/>
        </w:rPr>
        <w:t>Do 2–3 whole-draft quality passes, each a new version: cut editorializing; tighten verbose constructions; break cross-paragraph repetition (same example, same connector, same point twice); check dialectical balance (each positive argument engages its objection without drowning); verify cross-references resolve; check terminology consistency. Stop when a pass makes only minor changes.</w:t>
      </w:r>
    </w:p>
    <w:p>
      <w:pPr>
        <w:pStyle w:val="ListBullet"/>
      </w:pPr>
      <w:r>
        <w:rPr>
          <w:b w:val="0"/>
          <w:i w:val="0"/>
        </w:rPr>
        <w:t>Do NOT, in this stage, change the author's voice, restructure sections against the signed-off outline, or cut anything the Writing Guide marks load-bearing. ADDING good arguments IS allowed — surface substantive additions in the version's changelog line so the author sees what is new at their next read.</w:t>
      </w:r>
    </w:p>
    <w:p>
      <w:pPr>
        <w:pStyle w:val="ListBullet"/>
      </w:pPr>
      <w:r>
        <w:rPr>
          <w:b w:val="0"/>
          <w:i w:val="0"/>
        </w:rPr>
        <w:t>Run lenses (A, E, S, I). Self-check — Quality (the passes genuinely happened across the whole draft; the diff is broad and each change traces to one of the two duties — removing what is bad or adding what is good. Word count may move either way; what it may not do is grow through editorializing, repetition, or decoration).</w:t>
      </w:r>
    </w:p>
    <w:p>
      <w:pPr>
        <w:pStyle w:val="Heading1"/>
        <w:pBdr>
          <w:bottom w:val="single" w:sz="8" w:space="4" w:color="44546A"/>
        </w:pBdr>
      </w:pPr>
      <w:r>
        <w:t>Stage 6 — Style &amp; Voice Pass (every sentence, every paragraph, in the author's voice)   [HIGH tier]</w:t>
      </w:r>
    </w:p>
    <w:p>
      <w:pPr>
        <w:pStyle w:val="ListBullet"/>
      </w:pPr>
      <w:r>
        <w:rPr>
          <w:b w:val="0"/>
          <w:i w:val="0"/>
        </w:rPr>
        <w:t>This stage has ONE job: make the prose the author's. It runs in ROUNDS. Each round: first re-read the author's example papers FRESH (the per-paper Model Prose anchor plus the Model Prose Library's closest pieces — reading them immediately before editing is the point; the patterns fade fast); then go through the ENTIRE draft paragraph by paragraph and sentence by sentence, pushing the prose toward the author's style using the calibration guides — the Voice Profile (the author's own sentence and paragraph patterns, with their signpost whitelist) and 'Prose Register — All Paper Types' (the two tests; explain-before-use; no metaphors doing argument work; plain referents; concrete before abstract). This is a separate pass: no argument or structure work.</w:t>
      </w:r>
    </w:p>
    <w:p>
      <w:pPr>
        <w:pStyle w:val="ListBullet"/>
      </w:pPr>
      <w:r>
        <w:rPr>
          <w:b w:val="0"/>
          <w:i w:val="0"/>
        </w:rPr>
        <w:t>Include the anti-LLM sweep calibrated to the author's signpost whitelist (keep the phrases the author genuinely uses; cut generic AI throat-clearing, stacked hedges, dash-chains, paragraph-restating summaries). Each style pass is a NEW numbered version with a changelog line; the deterministic self-check applies (broad diff; every change traces to a Voice-Profile pattern, or removes something bad, or adds something good — length may move either way).</w:t>
      </w:r>
    </w:p>
    <w:p>
      <w:pPr>
        <w:pStyle w:val="ListBullet"/>
      </w:pPr>
      <w:r>
        <w:rPr>
          <w:b w:val="0"/>
          <w:i w:val="0"/>
        </w:rPr>
        <w:t>Rounds and sufficiency: run as many rounds as it takes — TWO is the minimum (a single-pass draft failed a real author read as 'not in my voice, quite AI generated'; the two-round floor has held since). Each round walks the ENTIRE draft asking of each sentence 'would this author write this sentence?' and of each paragraph 'is this how their paragraphs move?' — replacing whatever reads as AI-written or off-voice. Keep a per-paragraph pass ledger (PASS / TOUCHED / FIXED with reasons) so 'every sentence and every paragraph' is a checkable claim, not an assertion. Stop only when a fresh round finds nothing but minor touches (convergence), never at a fixed count. TAIL DILIGENCE: voice passes reliably lose steam in a draft's last quarter — alternate walking direction between rounds (round 2 goes back to front), and report per-quartile touch rates in the ledger; a collapsed final-quartile rate without a stated reason fails the round's self-check.</w:t>
      </w:r>
    </w:p>
    <w:p>
      <w:pPr>
        <w:pStyle w:val="ListBullet"/>
      </w:pPr>
      <w:r>
        <w:rPr>
          <w:b w:val="0"/>
          <w:i w:val="0"/>
        </w:rPr>
        <w:t>Later rounds catch different failure classes: round one catches drafting-register failures (meta-scaffolding, stacked intensifiers, coined labels, jargon openers); later rounds catch what earlier rewrites introduced, register leaks (internal drafting vocabulary surfacing in the prose), and over-correction (e.g. too many punchy landings — most authors' paragraphs mostly end on ordinary workmanlike sentences; check the Voice Profile). Every round runs the no-regression sweep against the overruled set (the author's deleted formulations, recorded in the Change Logs and edit files) — a voice rewrite must never resurrect overruled text.</w:t>
      </w:r>
    </w:p>
    <w:p>
      <w:pPr>
        <w:pStyle w:val="ListBullet"/>
      </w:pPr>
      <w:r>
        <w:rPr>
          <w:b w:val="0"/>
          <w:i w:val="0"/>
        </w:rPr>
        <w:t>Each round is a NEW numbered version with a changelog line; self-check discipline applies (the builder diff must match the ledger's touched rows one-for-one). The author reads only after the stage completes — that read is Stage 7. And the rule is STANDING, not stage-local: after Gate 3, any substantial prose added or rewritten in later stages gets the same fresh-model-read + voice walk over the changed regions before the author's next read — the author never reads unvoiced prose, so they never have to leave style comments a pass should have caught.</w:t>
      </w:r>
    </w:p>
    <w:p>
      <w:pPr>
        <w:pStyle w:val="Heading1"/>
        <w:pBdr>
          <w:bottom w:val="single" w:sz="8" w:space="4" w:color="44546A"/>
        </w:pBdr>
      </w:pPr>
      <w:r>
        <w:t>Stage 7 — Author read of the draft   [HUMAN GATE 3]</w:t>
      </w:r>
    </w:p>
    <w:p>
      <w:pPr>
        <w:pStyle w:val="ListBullet"/>
      </w:pPr>
      <w:r>
        <w:rPr>
          <w:b w:val="0"/>
          <w:i w:val="0"/>
        </w:rPr>
        <w:t>Human sign-off — the quality-passed, style-and-voice-passed draft [GATE 3]. The author reads their best-work draft — voice, framing, substance. (Skipped on 'run straight through'.)</w:t>
      </w:r>
    </w:p>
    <w:p>
      <w:pPr>
        <w:pStyle w:val="ListBullet"/>
      </w:pPr>
      <w:r>
        <w:rPr>
          <w:b w:val="0"/>
          <w:i w:val="0"/>
        </w:rPr>
        <w:t>Apply the author's round under the author-round protocol: run the AUTHOR-ROUND EXTRACTOR (agent Build scripts/extract_author_round.py) against the author file AND the pristine base: it reads all five channels in one pass (tracked changes, inline brackets, Word comments, marking-color-to-black acceptances with rPrChange history stripped, and untracked text edits), and flags COLLISIONS where both parties touched a paragraph — the author's version wins by default. The author accepts marked additions by turning them black, so a color diff is part of every extraction (skipping it once nearly dropped 17 acceptances). Apply every instruction, produce the Change Log, run verify_author_round, and pass the mandatory author-round auditor gate. If the author's edits add or demand substantial new prose, that prose gets a voice walk (Stage 6 discipline) before the next stage. Render Claude's bigger changes in the MARKING COLOR (new ¶s, new arguments, wholesale rewrites); the author's incorporated edits and all footnote bodies stay black. Verify extraction against the raw XML when the author's file merges or splits paragraphs: Word stores ¶-mark deletions as self-closing w:del tags, and naive stripping swallows ¶-initial insertions.</w:t>
      </w:r>
    </w:p>
    <w:p>
      <w:pPr>
        <w:pStyle w:val="Heading1"/>
        <w:pBdr>
          <w:bottom w:val="single" w:sz="8" w:space="4" w:color="44546A"/>
        </w:pBdr>
      </w:pPr>
      <w:r>
        <w:t>Stage 8 — Referee panel (simulated peer review)   [HIGH tier]</w:t>
      </w:r>
    </w:p>
    <w:p>
      <w:pPr>
        <w:pStyle w:val="ListBullet"/>
      </w:pPr>
      <w:r>
        <w:rPr>
          <w:b w:val="0"/>
          <w:i w:val="0"/>
        </w:rPr>
        <w:t>Once the paper is internally coherent, spawn THREE referee subagents in parallel (the paper type's fixed lens trio), each BLIND — given only its lens, the manuscript, and the venue, with NO summary of the paper's claims and NO leading questions (leading prompts make the panel converge on whatever you point at; use the Referee Templates). Each reads the manuscript INCLUDING footnotes, independently, and files a severity-ranked report that also gives acceptance-odds and an above/below-the-venue-bar signal.</w:t>
      </w:r>
    </w:p>
    <w:p>
      <w:pPr>
        <w:pStyle w:val="ListBullet"/>
      </w:pPr>
      <w:r>
        <w:rPr>
          <w:b w:val="0"/>
          <w:i w:val="0"/>
        </w:rPr>
        <w:t>Consolidate consensus: concerns flagged by two or more referees are the consensus set; single-referee concerns are held in reserve. THEN STOP: present the author a disposition PLAN in chat — each consensus item, the proposed fix, the proposed skips — and implement only after the author signs off. Implement the approved set in one pass (a new version) — and the pass is not done until a VOICE ROUND has run over every region the implementation touched (fresh model-prose read first, walk each new or rewritten passage against 'would this author write this sentence?', keep the per-passage ledger). Referee-driven prose arrives in the referees' register by default; the voice round is what converts it to the author's before they read it.</w:t>
      </w:r>
    </w:p>
    <w:p>
      <w:pPr>
        <w:pStyle w:val="ListBullet"/>
      </w:pPr>
      <w:r>
        <w:rPr>
          <w:b w:val="0"/>
          <w:i w:val="0"/>
        </w:rPr>
        <w:t>Run a second round with FRESH referees reading the revised paper clean. Read the TRAJECTORY and the specific convergent issues, NOT the accept/R&amp;R/reject label — AI referees almost never say 'accept as is', so the label cannot flip and must not be chased. Add one 'case-for-acceptance' reader to counter the critique lean. CAP: two substantive rounds (first complete draft; post-author-revision) plus one blind pre-submission read. STOP when scholarship is clean (citation-auditor pass) and issues have converged; never action a referee's CITATION complaint without reconciling it against the citation-auditor.</w:t>
      </w:r>
    </w:p>
    <w:p>
      <w:pPr>
        <w:pStyle w:val="ListBullet"/>
      </w:pPr>
      <w:r>
        <w:rPr>
          <w:b w:val="0"/>
          <w:i w:val="0"/>
        </w:rPr>
        <w:t>Auditor gate — Referee (each round's reports are real and the consensus fixes were actually applied; fixed point reached).</w:t>
      </w:r>
    </w:p>
    <w:p>
      <w:pPr>
        <w:pStyle w:val="Heading1"/>
        <w:pBdr>
          <w:bottom w:val="single" w:sz="8" w:space="4" w:color="44546A"/>
        </w:pBdr>
      </w:pPr>
      <w:r>
        <w:t>Stage 9 — Author rewrite + targeted changes (author-led)</w:t>
      </w:r>
    </w:p>
    <w:p>
      <w:pPr>
        <w:pStyle w:val="ListBullet"/>
      </w:pPr>
      <w:r>
        <w:rPr>
          <w:b w:val="0"/>
          <w:i w:val="0"/>
        </w:rPr>
        <w:t>The author takes the keyboard for the parts where their judgment, voice, or expertise is irreplaceable (intro/hook/thesis, load-bearing arguments, contemporary illustrations). The author's edits to a section set its direction: later versions may improve further, but may never regress to formulations the author overruled (check the Change Logs), and improvements to the author's text are flagged in the changelog.</w:t>
      </w:r>
    </w:p>
    <w:p>
      <w:pPr>
        <w:pStyle w:val="ListBullet"/>
      </w:pPr>
      <w:r>
        <w:rPr>
          <w:b w:val="0"/>
          <w:i w:val="0"/>
        </w:rPr>
        <w:t>Apply the author's targeted change requests VERBATIM; produce a Change Log (section / before / after / why) so the author can spot-check rather than re-read; DIFF against the prior version to confirm only the intended changes happened and no prior author edit was reverted.</w:t>
      </w:r>
    </w:p>
    <w:p>
      <w:pPr>
        <w:pStyle w:val="ListBullet"/>
      </w:pPr>
      <w:r>
        <w:rPr>
          <w:b w:val="0"/>
          <w:i w:val="0"/>
        </w:rPr>
        <w:t>Auditor gate — Author changes (the Change Log matches the actual diff; prior author edits preserved).</w:t>
      </w:r>
    </w:p>
    <w:p>
      <w:pPr>
        <w:pStyle w:val="Heading1"/>
        <w:pBdr>
          <w:bottom w:val="single" w:sz="8" w:space="4" w:color="44546A"/>
        </w:pBdr>
      </w:pPr>
      <w:r>
        <w:t>Stage 10 — Finishing</w:t>
      </w:r>
    </w:p>
    <w:p>
      <w:pPr>
        <w:pStyle w:val="ListBullet"/>
      </w:pPr>
      <w:r>
        <w:rPr>
          <w:b w:val="0"/>
          <w:i w:val="0"/>
        </w:rPr>
        <w:t>Integration pass. Re-read the entire paper front to back for stale cross-references, notation/terminology drift, places where earlier edits no longer match later ones, dangling references to cut material, and small prose polish. This catches what no single-read referee would. Voice discipline holds here too: regions substantially rewritten since the last voice round (referee fixes, integration rewrites) get a voice walk before the author's pre-submission read.</w:t>
      </w:r>
    </w:p>
    <w:p>
      <w:pPr>
        <w:pStyle w:val="ListBullet"/>
      </w:pPr>
      <w:r>
        <w:rPr>
          <w:b w:val="0"/>
          <w:i w:val="0"/>
        </w:rPr>
        <w:t>Abstract — written LAST. Never write it early (it pulls the framing subtly wrong). Produce 2–3 candidates in different registers; have a fresh pass critique them and recommend a synthesis; verify it matches the paper's ACTUAL framing; insert at the top.</w:t>
      </w:r>
    </w:p>
    <w:p>
      <w:pPr>
        <w:pStyle w:val="ListBullet"/>
      </w:pPr>
      <w:r>
        <w:rPr>
          <w:b w:val="0"/>
          <w:i w:val="0"/>
        </w:rPr>
        <w:t>Anti-LLM prose pass. Invoke the copy-critic to flag AI tells (hedging-redundancy, three-part lists where two suffice, adverbial throat-clearing, metaphor-chaining, paragraph-restating summaries), calibrated to the Voice Profile's whitelist; revise them; then a fresh pass rewrites anything still mechanical.</w:t>
      </w:r>
    </w:p>
    <w:p>
      <w:pPr>
        <w:pStyle w:val="ListBullet"/>
      </w:pPr>
      <w:r>
        <w:rPr>
          <w:b w:val="0"/>
          <w:i w:val="0"/>
        </w:rPr>
        <w:t>Citation audit. Invoke the citation-auditor to verify author/year/title and EVERY page pinpoint against the real source (≥1 pass before the first referee round and 1 before submission); resolve every placeholder and (verify) tag. No fabricated citations.</w:t>
      </w:r>
    </w:p>
    <w:p>
      <w:pPr>
        <w:pStyle w:val="ListBullet"/>
      </w:pPr>
      <w:r>
        <w:rPr>
          <w:b w:val="0"/>
          <w:i w:val="0"/>
        </w:rPr>
        <w:t>Build the citation apparatus to TYPE (per the Style Module: author-date + reference list; Bluebook footnotes carrying nearly every proposition; numbered citations; whatever the venue requires — for footnote-heavy types this is a heavy pass turning placeholders into full notes).</w:t>
      </w:r>
    </w:p>
    <w:p>
      <w:pPr>
        <w:pStyle w:val="ListBullet"/>
      </w:pPr>
      <w:r>
        <w:rPr>
          <w:b w:val="0"/>
          <w:i w:val="0"/>
        </w:rPr>
        <w:t>Length pass (light, here only). Now — and only now — scope up a thin paper or trim a bloated one toward the target length. Argument quality is already settled; this is sizing, not arguing.</w:t>
      </w:r>
    </w:p>
    <w:p>
      <w:pPr>
        <w:pStyle w:val="ListBullet"/>
      </w:pPr>
      <w:r>
        <w:rPr>
          <w:b w:val="0"/>
          <w:i w:val="0"/>
        </w:rPr>
        <w:t>Pre-send review. Invoke the copy-critic for a must-fix vs can-wait checklist (typos; claims that don't match the body; duplicated cross-refs; undefined acronyms; terminology/format inconsistency; weak sections; style drift). Present the must-fix list to the author; apply approved fixes.</w:t>
      </w:r>
    </w:p>
    <w:p>
      <w:pPr>
        <w:pStyle w:val="ListBullet"/>
      </w:pPr>
      <w:r>
        <w:rPr>
          <w:b w:val="0"/>
          <w:i w:val="0"/>
        </w:rPr>
        <w:t>Auditor gate — Final (every finishing step has a backing artifact; the package is complete) plus the 'knowing when to stop' check: the last referee round produced only polish; the integration pass found only cosmetics; abstract/intro/conclusion frame the paper the same way; you can read it end to end without wincing. THE FINISH DECISION IS AUTHOR-OWNED: because AI referees never say 'accept as is', no referee verdict releases the paper — the finish signal is citation-auditor clean + referee issues converged + the author judging the remaining objections answerable or acceptable as stated limitations.</w:t>
      </w:r>
    </w:p>
    <w:p>
      <w:pPr>
        <w:pStyle w:val="Heading1"/>
        <w:pBdr>
          <w:bottom w:val="single" w:sz="8" w:space="4" w:color="44546A"/>
        </w:pBdr>
      </w:pPr>
      <w:r>
        <w:t>Stage 11 — Revise &amp; Resubmit (only if a journal sends referee reports)</w:t>
      </w:r>
    </w:p>
    <w:p>
      <w:pPr>
        <w:pStyle w:val="ListBullet"/>
      </w:pPr>
      <w:r>
        <w:rPr>
          <w:b w:val="0"/>
          <w:i w:val="0"/>
        </w:rPr>
        <w:t>Create a Revise and Resubmit/ folder. Reproduce the journal's referee reports VERBATIM; write a Response-to-Referees letter with responses inline, each quoting the point it answers; use a prior example letter to calibrate tone. Follow 'Revise &amp; Resubmit Module.docx' (General Guide) for the full procedure.</w:t>
      </w:r>
    </w:p>
    <w:p>
      <w:pPr>
        <w:pStyle w:val="ListBullet"/>
      </w:pPr>
      <w:r>
        <w:rPr>
          <w:b w:val="0"/>
          <w:i w:val="0"/>
        </w:rPr>
        <w:t>Make MODULAR changes — a small new subsection or an end-of-section paragraph, never a big restructure — so each change is easy for a referee to verify; mark all changes for the author's review. WebSearch-verify any referee-suggested citation before adding it. Keep Revised and Clean manuscript versions.</w:t>
      </w:r>
    </w:p>
    <w:p>
      <w:pPr>
        <w:pStyle w:val="Heading1"/>
        <w:pBdr>
          <w:bottom w:val="single" w:sz="8" w:space="4" w:color="44546A"/>
        </w:pBdr>
      </w:pPr>
      <w:r>
        <w:t>Stage 12 — Improvement retrospective (after each paper)</w:t>
      </w:r>
    </w:p>
    <w:p>
      <w:pPr>
        <w:pStyle w:val="ListBullet"/>
      </w:pPr>
      <w:r>
        <w:rPr>
          <w:b w:val="0"/>
          <w:i w:val="0"/>
        </w:rPr>
        <w:t>Write a 1–2 page retrospective (a Word doc in Progress reports): what worked, what slowed us down, the auditor's most common REVISE reasons, recurring author feedback, and concrete suggested changes to the playbook docs and the agents. This is how the agent improves — the original agent's every standing rule came from one of these.</w:t>
      </w:r>
    </w:p>
    <w:p>
      <w:pPr>
        <w:pStyle w:val="Heading1"/>
        <w:pBdr>
          <w:bottom w:val="single" w:sz="8" w:space="4" w:color="44546A"/>
        </w:pBdr>
      </w:pPr>
      <w:r>
        <w:t>Versioning rules</w:t>
      </w:r>
    </w:p>
    <w:p>
      <w:pPr>
        <w:pStyle w:val="ListBullet"/>
      </w:pPr>
      <w:r>
        <w:rPr>
          <w:b w:val="0"/>
          <w:i w:val="0"/>
        </w:rPr>
        <w:t>FREEZE RULE: the moment a draft version is handed to the author, that FILENAME is frozen. No build script may write it again, however trivial the fix; post-handoff builds bump the version number FIRST. Applies to every generated document the author reviews. (Added after a rebuild overwrote an author's in-progress edits.)</w:t>
      </w:r>
    </w:p>
    <w:p>
      <w:pPr>
        <w:pStyle w:val="ListBullet"/>
      </w:pPr>
      <w:r>
        <w:rPr>
          <w:b w:val="0"/>
          <w:i w:val="0"/>
        </w:rPr>
        <w:t>Version at gates. By design the paragraph outline goes 3C v0.1 → v0.2 → v0.3, and the Draft goes v1.0 → quality versions (v1.1, v1.2…) → voice versions → referee versions → author versions. Use integer/decimal naming: "&lt;Paper&gt; - Draft v1.4.docx". Save a new numbered file when a deliverable goes to or returns from a gate.</w:t>
      </w:r>
    </w:p>
    <w:p>
      <w:pPr>
        <w:pStyle w:val="ListBullet"/>
      </w:pPr>
      <w:r>
        <w:rPr>
          <w:b w:val="0"/>
          <w:i w:val="0"/>
        </w:rPr>
        <w:t>Never overwrite a gated version. Superseded versions move to Old versions/. The author's returned markup is saved as a parallel '- author edits' file and treated as intentional.</w:t>
      </w:r>
    </w:p>
    <w:p>
      <w:pPr>
        <w:pStyle w:val="ListBullet"/>
      </w:pPr>
      <w:r>
        <w:rPr>
          <w:b w:val="0"/>
          <w:i w:val="0"/>
        </w:rPr>
        <w:t>Each new version opens with a short changelog line noting what changed and which comments/lenses/referee items/auditor fixes it addresses. (The changelog line lives in the Change Log or the Progress Log for author-facing paper drafts — the draft itself stays clean.)</w:t>
      </w:r>
    </w:p>
    <w:p>
      <w:pPr>
        <w:pStyle w:val="ListBullet"/>
      </w:pPr>
      <w:r>
        <w:rPr>
          <w:b w:val="0"/>
          <w:i w:val="0"/>
        </w:rPr>
        <w:t>The .docx the author edits is the single source of truth. After any author edit, re-extract from the docx rather than relying on a prior build script — build scripts go stale fast.</w:t>
      </w:r>
    </w:p>
    <w:p>
      <w:pPr>
        <w:pStyle w:val="ListBullet"/>
      </w:pPr>
      <w:r>
        <w:rPr>
          <w:b w:val="0"/>
          <w:i w:val="0"/>
        </w:rPr>
        <w:t>Fresh base for every build. A delivered file is author-editable the moment it lands in the shared folder — including between two of Claude's own builds in one session. Every build re-unpacks the current live file; never reuse a working directory, unpacked tree, or in-memory state from an earlier build. Record a hash at every delivery and check it before every rebuild (check_live_base.py, Build scripts; log .delivered_hashes.jsonl hidden next to the paper). On MISMATCH or NO RECORD: convert both states to text, diff, and reconcile every difference as an author edit — authors edit untracked as well as tracked, so zero w:ins/w:del marks prove nothing. (Added after a stale-base rebuild dropped six untracked author edits.)</w:t>
      </w:r>
    </w:p>
    <w:p>
      <w:pPr>
        <w:pStyle w:val="Heading1"/>
        <w:pBdr>
          <w:bottom w:val="single" w:sz="8" w:space="4" w:color="44546A"/>
        </w:pBdr>
      </w:pPr>
      <w:r>
        <w:t>Progress reports (kept clean and author-facing)</w:t>
      </w:r>
    </w:p>
    <w:p>
      <w:r>
        <w:rPr>
          <w:b w:val="0"/>
          <w:i w:val="0"/>
        </w:rPr>
        <w:t>Progress reports/ holds ONLY: the Project Checklist; the running Progress Log (appended at each gate and after each substantive change — what was produced, what changed, decisions, open questions, the auditor's verdicts, and what is needed from the author); the Argument &amp; Objection Coverage Map; and the Stage 12 Retrospective. Working/review artifacts — the Claims-to-Verify register, the Citation Audit, the Setup Brief, and working referee notes — live in Scrap/Review artifacts/ (referee reports themselves in WIP Docs/Referee Reports/).</w:t>
      </w:r>
    </w:p>
    <w:p>
      <w:pPr>
        <w:pStyle w:val="Heading1"/>
        <w:pBdr>
          <w:bottom w:val="single" w:sz="8" w:space="4" w:color="44546A"/>
        </w:pBdr>
      </w:pPr>
      <w:r>
        <w:t>Project folder structure (reference)</w:t>
      </w:r>
    </w:p>
    <w:p>
      <w:pPr>
        <w:pStyle w:val="ListBullet"/>
      </w:pPr>
      <w:r>
        <w:rPr>
          <w:b w:val="0"/>
          <w:i w:val="0"/>
        </w:rPr>
        <w:t>General Guide to Academic Writing/ — the shared playbook (this Pipeline, Style Modules, Context, Voice Profile, Prose Register, Model Prose Library, Project Template, Referee Templates). The root Writing Guide is the style core. Subagents live in .claude/agents/.</w:t>
      </w:r>
    </w:p>
    <w:p>
      <w:pPr>
        <w:pStyle w:val="ListBullet"/>
      </w:pPr>
      <w:r>
        <w:rPr>
          <w:b w:val="0"/>
          <w:i w:val="0"/>
        </w:rPr>
        <w:t>Brief/ — the author's 1-page project description + notes/fragments. Background Readings/ — real PDFs of the core interlocutors (+ Converted text/). Model Prose/ — a prior paper, for voice only.</w:t>
      </w:r>
    </w:p>
    <w:p>
      <w:pPr>
        <w:pStyle w:val="ListBullet"/>
      </w:pPr>
      <w:r>
        <w:rPr>
          <w:b w:val="0"/>
          <w:i w:val="0"/>
        </w:rPr>
        <w:t>WIP Docs/ — Literature Map, Plan, Outline, Draft, Abstract, Referee Reports, Change Logs (each main type with Old versions/). Progress reports/ — Checklist, Progress Log, Coverage Map, Retrospective. Scrap/Review artifacts/ — Claims-to-Verify, Citation Audit, Setup Brief. Submission/ — only what is literally submitted. Behind the scenes (Claude)/Build scripts/ — this paper's own build scripts.</w:t>
      </w:r>
    </w:p>
    <w:p>
      <w:pPr>
        <w:pStyle w:val="Heading1"/>
        <w:pBdr>
          <w:bottom w:val="single" w:sz="8" w:space="4" w:color="44546A"/>
        </w:pBdr>
      </w:pPr>
      <w:r>
        <w:t>Appendix — gate &amp; lens quick reference</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4176"/>
            <w:shd w:val="clear" w:color="auto" w:fill="44546A"/>
          </w:tcPr>
          <w:p>
            <w:pPr>
              <w:spacing w:after="40" w:before="40"/>
            </w:pPr>
            <w:r>
              <w:rPr>
                <w:rFonts w:ascii="Calibri" w:hAnsi="Calibri"/>
                <w:color w:val="FFFFFF"/>
                <w:sz w:val="19"/>
              </w:rPr>
            </w:r>
            <w:r>
              <w:rPr>
                <w:rFonts w:ascii="Calibri" w:hAnsi="Calibri"/>
                <w:b/>
                <w:i w:val="0"/>
                <w:color w:val="FFFFFF"/>
                <w:sz w:val="19"/>
              </w:rPr>
              <w:t>Stage</w:t>
            </w:r>
          </w:p>
        </w:tc>
        <w:tc>
          <w:tcPr>
            <w:tcW w:type="dxa" w:w="1296"/>
            <w:shd w:val="clear" w:color="auto" w:fill="44546A"/>
          </w:tcPr>
          <w:p>
            <w:pPr>
              <w:spacing w:after="40" w:before="40"/>
            </w:pPr>
            <w:r>
              <w:rPr>
                <w:rFonts w:ascii="Calibri" w:hAnsi="Calibri"/>
                <w:color w:val="FFFFFF"/>
                <w:sz w:val="19"/>
              </w:rPr>
            </w:r>
            <w:r>
              <w:rPr>
                <w:rFonts w:ascii="Calibri" w:hAnsi="Calibri"/>
                <w:b/>
                <w:i w:val="0"/>
                <w:color w:val="FFFFFF"/>
                <w:sz w:val="19"/>
              </w:rPr>
              <w:t>Lenses</w:t>
            </w:r>
          </w:p>
        </w:tc>
        <w:tc>
          <w:tcPr>
            <w:tcW w:type="dxa" w:w="3312"/>
            <w:shd w:val="clear" w:color="auto" w:fill="44546A"/>
          </w:tcPr>
          <w:p>
            <w:pPr>
              <w:spacing w:after="40" w:before="40"/>
            </w:pPr>
            <w:r>
              <w:rPr>
                <w:rFonts w:ascii="Calibri" w:hAnsi="Calibri"/>
                <w:color w:val="FFFFFF"/>
                <w:sz w:val="19"/>
              </w:rPr>
            </w:r>
            <w:r>
              <w:rPr>
                <w:rFonts w:ascii="Calibri" w:hAnsi="Calibri"/>
                <w:b/>
                <w:i w:val="0"/>
                <w:color w:val="FFFFFF"/>
                <w:sz w:val="19"/>
              </w:rPr>
              <w:t>Specialist</w:t>
            </w:r>
          </w:p>
        </w:tc>
        <w:tc>
          <w:tcPr>
            <w:tcW w:type="dxa" w:w="2016"/>
            <w:shd w:val="clear" w:color="auto" w:fill="44546A"/>
          </w:tcPr>
          <w:p>
            <w:pPr>
              <w:spacing w:after="40" w:before="40"/>
            </w:pPr>
            <w:r>
              <w:rPr>
                <w:rFonts w:ascii="Calibri" w:hAnsi="Calibri"/>
                <w:color w:val="FFFFFF"/>
                <w:sz w:val="19"/>
              </w:rPr>
            </w:r>
            <w:r>
              <w:rPr>
                <w:rFonts w:ascii="Calibri" w:hAnsi="Calibri"/>
                <w:b/>
                <w:i w:val="0"/>
                <w:color w:val="FFFFFF"/>
                <w:sz w:val="19"/>
              </w:rPr>
              <w:t>Auditor gate</w:t>
            </w:r>
          </w:p>
        </w:tc>
        <w:tc>
          <w:tcPr>
            <w:tcW w:type="dxa" w:w="2016"/>
            <w:shd w:val="clear" w:color="auto" w:fill="44546A"/>
          </w:tcPr>
          <w:p>
            <w:pPr>
              <w:spacing w:after="40" w:before="40"/>
            </w:pPr>
            <w:r>
              <w:rPr>
                <w:rFonts w:ascii="Calibri" w:hAnsi="Calibri"/>
                <w:color w:val="FFFFFF"/>
                <w:sz w:val="19"/>
              </w:rPr>
            </w:r>
            <w:r>
              <w:rPr>
                <w:rFonts w:ascii="Calibri" w:hAnsi="Calibri"/>
                <w:b/>
                <w:i w:val="0"/>
                <w:color w:val="FFFFFF"/>
                <w:sz w:val="19"/>
              </w:rPr>
              <w:t>Human gate</w:t>
            </w:r>
          </w:p>
        </w:tc>
      </w:tr>
      <w:tr>
        <w:tc>
          <w:tcPr>
            <w:tcW w:type="dxa" w:w="4176"/>
          </w:tcPr>
          <w:p>
            <w:pPr>
              <w:spacing w:after="40" w:before="40"/>
            </w:pPr>
            <w:r>
              <w:rPr>
                <w:rFonts w:ascii="Calibri" w:hAnsi="Calibri"/>
                <w:sz w:val="19"/>
              </w:rPr>
            </w:r>
            <w:r>
              <w:rPr>
                <w:rFonts w:ascii="Calibri" w:hAnsi="Calibri"/>
                <w:b w:val="0"/>
                <w:i w:val="0"/>
                <w:sz w:val="19"/>
              </w:rPr>
              <w:t>0 Setup</w:t>
            </w:r>
          </w:p>
        </w:tc>
        <w:tc>
          <w:tcPr>
            <w:tcW w:type="dxa" w:w="1296"/>
          </w:tcPr>
          <w:p>
            <w:pPr>
              <w:spacing w:after="40" w:before="40"/>
            </w:pPr>
            <w:r>
              <w:rPr>
                <w:rFonts w:ascii="Calibri" w:hAnsi="Calibri"/>
                <w:sz w:val="19"/>
              </w:rPr>
            </w:r>
            <w:r>
              <w:rPr>
                <w:rFonts w:ascii="Calibri" w:hAnsi="Calibri"/>
                <w:b w:val="0"/>
                <w:i w:val="0"/>
                <w:sz w:val="19"/>
              </w:rPr>
              <w:t>—</w:t>
            </w:r>
          </w:p>
        </w:tc>
        <w:tc>
          <w:tcPr>
            <w:tcW w:type="dxa" w:w="3312"/>
          </w:tcPr>
          <w:p>
            <w:pPr>
              <w:spacing w:after="40" w:before="40"/>
            </w:pPr>
            <w:r>
              <w:rPr>
                <w:rFonts w:ascii="Calibri" w:hAnsi="Calibri"/>
                <w:sz w:val="19"/>
              </w:rPr>
            </w:r>
            <w:r>
              <w:rPr>
                <w:rFonts w:ascii="Calibri" w:hAnsi="Calibri"/>
                <w:b w:val="0"/>
                <w:i w:val="0"/>
                <w:sz w:val="19"/>
              </w:rPr>
              <w:t>—</w:t>
            </w:r>
          </w:p>
        </w:tc>
        <w:tc>
          <w:tcPr>
            <w:tcW w:type="dxa" w:w="2016"/>
          </w:tcPr>
          <w:p>
            <w:pPr>
              <w:spacing w:after="40" w:before="40"/>
            </w:pPr>
            <w:r>
              <w:rPr>
                <w:rFonts w:ascii="Calibri" w:hAnsi="Calibri"/>
                <w:sz w:val="19"/>
              </w:rPr>
            </w:r>
            <w:r>
              <w:rPr>
                <w:rFonts w:ascii="Calibri" w:hAnsi="Calibri"/>
                <w:b w:val="0"/>
                <w:i w:val="0"/>
                <w:sz w:val="19"/>
              </w:rPr>
              <w:t>Setup</w:t>
            </w:r>
          </w:p>
        </w:tc>
        <w:tc>
          <w:tcPr>
            <w:tcW w:type="dxa" w:w="2016"/>
          </w:tcPr>
          <w:p>
            <w:pPr>
              <w:spacing w:after="40" w:before="40"/>
            </w:pPr>
            <w:r>
              <w:rPr>
                <w:rFonts w:ascii="Calibri" w:hAnsi="Calibri"/>
                <w:sz w:val="19"/>
              </w:rPr>
            </w:r>
            <w:r>
              <w:rPr>
                <w:rFonts w:ascii="Calibri" w:hAnsi="Calibri"/>
                <w:b w:val="0"/>
                <w:i w:val="0"/>
                <w:sz w:val="19"/>
              </w:rPr>
              <w:t>Argument Sketch</w:t>
            </w:r>
          </w:p>
        </w:tc>
      </w:tr>
      <w:tr>
        <w:tc>
          <w:tcPr>
            <w:tcW w:type="dxa" w:w="4176"/>
            <w:shd w:val="clear" w:color="auto" w:fill="EEF3F5"/>
          </w:tcPr>
          <w:p>
            <w:pPr>
              <w:spacing w:after="40" w:before="40"/>
            </w:pPr>
            <w:r>
              <w:rPr>
                <w:rFonts w:ascii="Calibri" w:hAnsi="Calibri"/>
                <w:sz w:val="19"/>
              </w:rPr>
            </w:r>
            <w:r>
              <w:rPr>
                <w:rFonts w:ascii="Calibri" w:hAnsi="Calibri"/>
                <w:b w:val="0"/>
                <w:i w:val="0"/>
                <w:sz w:val="19"/>
              </w:rPr>
              <w:t>1 Lit Review</w:t>
            </w:r>
          </w:p>
        </w:tc>
        <w:tc>
          <w:tcPr>
            <w:tcW w:type="dxa" w:w="1296"/>
            <w:shd w:val="clear" w:color="auto" w:fill="EEF3F5"/>
          </w:tcPr>
          <w:p>
            <w:pPr>
              <w:spacing w:after="40" w:before="40"/>
            </w:pPr>
            <w:r>
              <w:rPr>
                <w:rFonts w:ascii="Calibri" w:hAnsi="Calibri"/>
                <w:sz w:val="19"/>
              </w:rPr>
            </w:r>
            <w:r>
              <w:rPr>
                <w:rFonts w:ascii="Calibri" w:hAnsi="Calibri"/>
                <w:b w:val="0"/>
                <w:i w:val="0"/>
                <w:sz w:val="19"/>
              </w:rPr>
              <w:t>E, I</w:t>
            </w:r>
          </w:p>
        </w:tc>
        <w:tc>
          <w:tcPr>
            <w:tcW w:type="dxa" w:w="3312"/>
            <w:shd w:val="clear" w:color="auto" w:fill="EEF3F5"/>
          </w:tcPr>
          <w:p>
            <w:pPr>
              <w:spacing w:after="40" w:before="40"/>
            </w:pPr>
            <w:r>
              <w:rPr>
                <w:rFonts w:ascii="Calibri" w:hAnsi="Calibri"/>
                <w:sz w:val="19"/>
              </w:rPr>
            </w:r>
            <w:r>
              <w:rPr>
                <w:rFonts w:ascii="Calibri" w:hAnsi="Calibri"/>
                <w:b w:val="0"/>
                <w:i w:val="0"/>
                <w:sz w:val="19"/>
              </w:rPr>
              <w:t>—</w:t>
            </w:r>
          </w:p>
        </w:tc>
        <w:tc>
          <w:tcPr>
            <w:tcW w:type="dxa" w:w="2016"/>
            <w:shd w:val="clear" w:color="auto" w:fill="EEF3F5"/>
          </w:tcPr>
          <w:p>
            <w:pPr>
              <w:spacing w:after="40" w:before="40"/>
            </w:pPr>
            <w:r>
              <w:rPr>
                <w:rFonts w:ascii="Calibri" w:hAnsi="Calibri"/>
                <w:sz w:val="19"/>
              </w:rPr>
            </w:r>
            <w:r>
              <w:rPr>
                <w:rFonts w:ascii="Calibri" w:hAnsi="Calibri"/>
                <w:b w:val="0"/>
                <w:i w:val="0"/>
                <w:sz w:val="19"/>
              </w:rPr>
              <w:t>Lit Review</w:t>
            </w:r>
          </w:p>
        </w:tc>
        <w:tc>
          <w:tcPr>
            <w:tcW w:type="dxa" w:w="2016"/>
            <w:shd w:val="clear" w:color="auto" w:fill="EEF3F5"/>
          </w:tcPr>
          <w:p>
            <w:pPr>
              <w:spacing w:after="40" w:before="40"/>
            </w:pPr>
            <w:r>
              <w:rPr>
                <w:rFonts w:ascii="Calibri" w:hAnsi="Calibri"/>
                <w:sz w:val="19"/>
              </w:rPr>
            </w:r>
            <w:r>
              <w:rPr>
                <w:rFonts w:ascii="Calibri" w:hAnsi="Calibri"/>
                <w:b w:val="0"/>
                <w:i w:val="0"/>
                <w:sz w:val="19"/>
              </w:rPr>
              <w:t>—</w:t>
            </w:r>
          </w:p>
        </w:tc>
      </w:tr>
      <w:tr>
        <w:tc>
          <w:tcPr>
            <w:tcW w:type="dxa" w:w="4176"/>
          </w:tcPr>
          <w:p>
            <w:pPr>
              <w:spacing w:after="40" w:before="40"/>
            </w:pPr>
            <w:r>
              <w:rPr>
                <w:rFonts w:ascii="Calibri" w:hAnsi="Calibri"/>
                <w:sz w:val="19"/>
              </w:rPr>
            </w:r>
            <w:r>
              <w:rPr>
                <w:rFonts w:ascii="Calibri" w:hAnsi="Calibri"/>
                <w:b w:val="0"/>
                <w:i w:val="0"/>
                <w:sz w:val="19"/>
              </w:rPr>
              <w:t>2 Plan</w:t>
            </w:r>
          </w:p>
        </w:tc>
        <w:tc>
          <w:tcPr>
            <w:tcW w:type="dxa" w:w="1296"/>
          </w:tcPr>
          <w:p>
            <w:pPr>
              <w:spacing w:after="40" w:before="40"/>
            </w:pPr>
            <w:r>
              <w:rPr>
                <w:rFonts w:ascii="Calibri" w:hAnsi="Calibri"/>
                <w:sz w:val="19"/>
              </w:rPr>
            </w:r>
            <w:r>
              <w:rPr>
                <w:rFonts w:ascii="Calibri" w:hAnsi="Calibri"/>
                <w:b w:val="0"/>
                <w:i w:val="0"/>
                <w:sz w:val="19"/>
              </w:rPr>
              <w:t>A,E,S,I</w:t>
            </w:r>
          </w:p>
        </w:tc>
        <w:tc>
          <w:tcPr>
            <w:tcW w:type="dxa" w:w="3312"/>
          </w:tcPr>
          <w:p>
            <w:pPr>
              <w:spacing w:after="40" w:before="40"/>
            </w:pPr>
            <w:r>
              <w:rPr>
                <w:rFonts w:ascii="Calibri" w:hAnsi="Calibri"/>
                <w:sz w:val="19"/>
              </w:rPr>
            </w:r>
            <w:r>
              <w:rPr>
                <w:rFonts w:ascii="Calibri" w:hAnsi="Calibri"/>
                <w:b w:val="0"/>
                <w:i w:val="0"/>
                <w:sz w:val="19"/>
              </w:rPr>
              <w:t>—</w:t>
            </w:r>
          </w:p>
        </w:tc>
        <w:tc>
          <w:tcPr>
            <w:tcW w:type="dxa" w:w="2016"/>
          </w:tcPr>
          <w:p>
            <w:pPr>
              <w:spacing w:after="40" w:before="40"/>
            </w:pPr>
            <w:r>
              <w:rPr>
                <w:rFonts w:ascii="Calibri" w:hAnsi="Calibri"/>
                <w:sz w:val="19"/>
              </w:rPr>
            </w:r>
            <w:r>
              <w:rPr>
                <w:rFonts w:ascii="Calibri" w:hAnsi="Calibri"/>
                <w:b w:val="0"/>
                <w:i w:val="0"/>
                <w:sz w:val="19"/>
              </w:rPr>
              <w:t>Plan</w:t>
            </w:r>
          </w:p>
        </w:tc>
        <w:tc>
          <w:tcPr>
            <w:tcW w:type="dxa" w:w="2016"/>
          </w:tcPr>
          <w:p>
            <w:pPr>
              <w:spacing w:after="40" w:before="40"/>
            </w:pPr>
            <w:r>
              <w:rPr>
                <w:rFonts w:ascii="Calibri" w:hAnsi="Calibri"/>
                <w:sz w:val="19"/>
              </w:rPr>
            </w:r>
            <w:r>
              <w:rPr>
                <w:rFonts w:ascii="Calibri" w:hAnsi="Calibri"/>
                <w:b w:val="0"/>
                <w:i w:val="0"/>
                <w:sz w:val="19"/>
              </w:rPr>
              <w:t>GATE 1</w:t>
            </w:r>
          </w:p>
        </w:tc>
      </w:tr>
      <w:tr>
        <w:tc>
          <w:tcPr>
            <w:tcW w:type="dxa" w:w="4176"/>
            <w:shd w:val="clear" w:color="auto" w:fill="EEF3F5"/>
          </w:tcPr>
          <w:p>
            <w:pPr>
              <w:spacing w:after="40" w:before="40"/>
            </w:pPr>
            <w:r>
              <w:rPr>
                <w:rFonts w:ascii="Calibri" w:hAnsi="Calibri"/>
                <w:sz w:val="19"/>
              </w:rPr>
            </w:r>
            <w:r>
              <w:rPr>
                <w:rFonts w:ascii="Calibri" w:hAnsi="Calibri"/>
                <w:b w:val="0"/>
                <w:i w:val="0"/>
                <w:sz w:val="19"/>
              </w:rPr>
              <w:t>3A Skeleton</w:t>
            </w:r>
          </w:p>
        </w:tc>
        <w:tc>
          <w:tcPr>
            <w:tcW w:type="dxa" w:w="1296"/>
            <w:shd w:val="clear" w:color="auto" w:fill="EEF3F5"/>
          </w:tcPr>
          <w:p>
            <w:pPr>
              <w:spacing w:after="40" w:before="40"/>
            </w:pPr>
            <w:r>
              <w:rPr>
                <w:rFonts w:ascii="Calibri" w:hAnsi="Calibri"/>
                <w:sz w:val="19"/>
              </w:rPr>
            </w:r>
            <w:r>
              <w:rPr>
                <w:rFonts w:ascii="Calibri" w:hAnsi="Calibri"/>
                <w:b w:val="0"/>
                <w:i w:val="0"/>
                <w:sz w:val="19"/>
              </w:rPr>
              <w:t>A, E</w:t>
            </w:r>
          </w:p>
        </w:tc>
        <w:tc>
          <w:tcPr>
            <w:tcW w:type="dxa" w:w="3312"/>
            <w:shd w:val="clear" w:color="auto" w:fill="EEF3F5"/>
          </w:tcPr>
          <w:p>
            <w:pPr>
              <w:spacing w:after="40" w:before="40"/>
            </w:pPr>
            <w:r>
              <w:rPr>
                <w:rFonts w:ascii="Calibri" w:hAnsi="Calibri"/>
                <w:sz w:val="19"/>
              </w:rPr>
            </w:r>
            <w:r>
              <w:rPr>
                <w:rFonts w:ascii="Calibri" w:hAnsi="Calibri"/>
                <w:b w:val="0"/>
                <w:i w:val="0"/>
                <w:sz w:val="19"/>
              </w:rPr>
              <w:t>—</w:t>
            </w:r>
          </w:p>
        </w:tc>
        <w:tc>
          <w:tcPr>
            <w:tcW w:type="dxa" w:w="2016"/>
            <w:shd w:val="clear" w:color="auto" w:fill="EEF3F5"/>
          </w:tcPr>
          <w:p>
            <w:pPr>
              <w:spacing w:after="40" w:before="40"/>
            </w:pPr>
            <w:r>
              <w:rPr>
                <w:rFonts w:ascii="Calibri" w:hAnsi="Calibri"/>
                <w:sz w:val="19"/>
              </w:rPr>
            </w:r>
            <w:r>
              <w:rPr>
                <w:rFonts w:ascii="Calibri" w:hAnsi="Calibri"/>
                <w:b w:val="0"/>
                <w:i w:val="0"/>
                <w:sz w:val="19"/>
              </w:rPr>
              <w:t>3A</w:t>
            </w:r>
          </w:p>
        </w:tc>
        <w:tc>
          <w:tcPr>
            <w:tcW w:type="dxa" w:w="2016"/>
            <w:shd w:val="clear" w:color="auto" w:fill="EEF3F5"/>
          </w:tcPr>
          <w:p>
            <w:pPr>
              <w:spacing w:after="40" w:before="40"/>
            </w:pPr>
            <w:r>
              <w:rPr>
                <w:rFonts w:ascii="Calibri" w:hAnsi="Calibri"/>
                <w:sz w:val="19"/>
              </w:rPr>
            </w:r>
            <w:r>
              <w:rPr>
                <w:rFonts w:ascii="Calibri" w:hAnsi="Calibri"/>
                <w:b w:val="0"/>
                <w:i w:val="0"/>
                <w:sz w:val="19"/>
              </w:rPr>
              <w:t>—</w:t>
            </w:r>
          </w:p>
        </w:tc>
      </w:tr>
      <w:tr>
        <w:tc>
          <w:tcPr>
            <w:tcW w:type="dxa" w:w="4176"/>
          </w:tcPr>
          <w:p>
            <w:pPr>
              <w:spacing w:after="40" w:before="40"/>
            </w:pPr>
            <w:r>
              <w:rPr>
                <w:rFonts w:ascii="Calibri" w:hAnsi="Calibri"/>
                <w:sz w:val="19"/>
              </w:rPr>
            </w:r>
            <w:r>
              <w:rPr>
                <w:rFonts w:ascii="Calibri" w:hAnsi="Calibri"/>
                <w:b w:val="0"/>
                <w:i w:val="0"/>
                <w:sz w:val="19"/>
              </w:rPr>
              <w:t>3B Argument</w:t>
            </w:r>
          </w:p>
        </w:tc>
        <w:tc>
          <w:tcPr>
            <w:tcW w:type="dxa" w:w="1296"/>
          </w:tcPr>
          <w:p>
            <w:pPr>
              <w:spacing w:after="40" w:before="40"/>
            </w:pPr>
            <w:r>
              <w:rPr>
                <w:rFonts w:ascii="Calibri" w:hAnsi="Calibri"/>
                <w:sz w:val="19"/>
              </w:rPr>
            </w:r>
            <w:r>
              <w:rPr>
                <w:rFonts w:ascii="Calibri" w:hAnsi="Calibri"/>
                <w:b w:val="0"/>
                <w:i w:val="0"/>
                <w:sz w:val="19"/>
              </w:rPr>
              <w:t>A,E,S,I</w:t>
            </w:r>
          </w:p>
        </w:tc>
        <w:tc>
          <w:tcPr>
            <w:tcW w:type="dxa" w:w="3312"/>
          </w:tcPr>
          <w:p>
            <w:pPr>
              <w:spacing w:after="40" w:before="40"/>
            </w:pPr>
            <w:r>
              <w:rPr>
                <w:rFonts w:ascii="Calibri" w:hAnsi="Calibri"/>
                <w:sz w:val="19"/>
              </w:rPr>
            </w:r>
            <w:r>
              <w:rPr>
                <w:rFonts w:ascii="Calibri" w:hAnsi="Calibri"/>
                <w:b w:val="0"/>
                <w:i w:val="0"/>
                <w:sz w:val="19"/>
              </w:rPr>
              <w:t>—</w:t>
            </w:r>
          </w:p>
        </w:tc>
        <w:tc>
          <w:tcPr>
            <w:tcW w:type="dxa" w:w="2016"/>
          </w:tcPr>
          <w:p>
            <w:pPr>
              <w:spacing w:after="40" w:before="40"/>
            </w:pPr>
            <w:r>
              <w:rPr>
                <w:rFonts w:ascii="Calibri" w:hAnsi="Calibri"/>
                <w:sz w:val="19"/>
              </w:rPr>
            </w:r>
            <w:r>
              <w:rPr>
                <w:rFonts w:ascii="Calibri" w:hAnsi="Calibri"/>
                <w:b w:val="0"/>
                <w:i w:val="0"/>
                <w:sz w:val="19"/>
              </w:rPr>
              <w:t>3B</w:t>
            </w:r>
          </w:p>
        </w:tc>
        <w:tc>
          <w:tcPr>
            <w:tcW w:type="dxa" w:w="2016"/>
          </w:tcPr>
          <w:p>
            <w:pPr>
              <w:spacing w:after="40" w:before="40"/>
            </w:pPr>
            <w:r>
              <w:rPr>
                <w:rFonts w:ascii="Calibri" w:hAnsi="Calibri"/>
                <w:sz w:val="19"/>
              </w:rPr>
            </w:r>
            <w:r>
              <w:rPr>
                <w:rFonts w:ascii="Calibri" w:hAnsi="Calibri"/>
                <w:b w:val="0"/>
                <w:i w:val="0"/>
                <w:sz w:val="19"/>
              </w:rPr>
              <w:t>—</w:t>
            </w:r>
          </w:p>
        </w:tc>
      </w:tr>
      <w:tr>
        <w:tc>
          <w:tcPr>
            <w:tcW w:type="dxa" w:w="4176"/>
            <w:shd w:val="clear" w:color="auto" w:fill="EEF3F5"/>
          </w:tcPr>
          <w:p>
            <w:pPr>
              <w:spacing w:after="40" w:before="40"/>
            </w:pPr>
            <w:r>
              <w:rPr>
                <w:rFonts w:ascii="Calibri" w:hAnsi="Calibri"/>
                <w:sz w:val="19"/>
              </w:rPr>
            </w:r>
            <w:r>
              <w:rPr>
                <w:rFonts w:ascii="Calibri" w:hAnsi="Calibri"/>
                <w:b w:val="0"/>
                <w:i w:val="0"/>
                <w:sz w:val="19"/>
              </w:rPr>
              <w:t>3C Paragraph (v0.1→v0.3)</w:t>
            </w:r>
          </w:p>
        </w:tc>
        <w:tc>
          <w:tcPr>
            <w:tcW w:type="dxa" w:w="1296"/>
            <w:shd w:val="clear" w:color="auto" w:fill="EEF3F5"/>
          </w:tcPr>
          <w:p>
            <w:pPr>
              <w:spacing w:after="40" w:before="40"/>
            </w:pPr>
            <w:r>
              <w:rPr>
                <w:rFonts w:ascii="Calibri" w:hAnsi="Calibri"/>
                <w:sz w:val="19"/>
              </w:rPr>
            </w:r>
            <w:r>
              <w:rPr>
                <w:rFonts w:ascii="Calibri" w:hAnsi="Calibri"/>
                <w:b w:val="0"/>
                <w:i w:val="0"/>
                <w:sz w:val="19"/>
              </w:rPr>
              <w:t>A,E,S,I</w:t>
            </w:r>
          </w:p>
        </w:tc>
        <w:tc>
          <w:tcPr>
            <w:tcW w:type="dxa" w:w="3312"/>
            <w:shd w:val="clear" w:color="auto" w:fill="EEF3F5"/>
          </w:tcPr>
          <w:p>
            <w:pPr>
              <w:spacing w:after="40" w:before="40"/>
            </w:pPr>
            <w:r>
              <w:rPr>
                <w:rFonts w:ascii="Calibri" w:hAnsi="Calibri"/>
                <w:sz w:val="19"/>
              </w:rPr>
            </w:r>
            <w:r>
              <w:rPr>
                <w:rFonts w:ascii="Calibri" w:hAnsi="Calibri"/>
                <w:b w:val="0"/>
                <w:i w:val="0"/>
                <w:sz w:val="19"/>
              </w:rPr>
              <w:t>referee (review memo)</w:t>
            </w:r>
          </w:p>
        </w:tc>
        <w:tc>
          <w:tcPr>
            <w:tcW w:type="dxa" w:w="2016"/>
            <w:shd w:val="clear" w:color="auto" w:fill="EEF3F5"/>
          </w:tcPr>
          <w:p>
            <w:pPr>
              <w:spacing w:after="40" w:before="40"/>
            </w:pPr>
            <w:r>
              <w:rPr>
                <w:rFonts w:ascii="Calibri" w:hAnsi="Calibri"/>
                <w:sz w:val="19"/>
              </w:rPr>
            </w:r>
            <w:r>
              <w:rPr>
                <w:rFonts w:ascii="Calibri" w:hAnsi="Calibri"/>
                <w:b w:val="0"/>
                <w:i w:val="0"/>
                <w:sz w:val="19"/>
              </w:rPr>
              <w:t>3C×3 + FINAL</w:t>
            </w:r>
          </w:p>
        </w:tc>
        <w:tc>
          <w:tcPr>
            <w:tcW w:type="dxa" w:w="2016"/>
            <w:shd w:val="clear" w:color="auto" w:fill="EEF3F5"/>
          </w:tcPr>
          <w:p>
            <w:pPr>
              <w:spacing w:after="40" w:before="40"/>
            </w:pPr>
            <w:r>
              <w:rPr>
                <w:rFonts w:ascii="Calibri" w:hAnsi="Calibri"/>
                <w:sz w:val="19"/>
              </w:rPr>
            </w:r>
            <w:r>
              <w:rPr>
                <w:rFonts w:ascii="Calibri" w:hAnsi="Calibri"/>
                <w:b w:val="0"/>
                <w:i w:val="0"/>
                <w:sz w:val="19"/>
              </w:rPr>
              <w:t>GATE 2</w:t>
            </w:r>
          </w:p>
        </w:tc>
      </w:tr>
      <w:tr>
        <w:tc>
          <w:tcPr>
            <w:tcW w:type="dxa" w:w="4176"/>
          </w:tcPr>
          <w:p>
            <w:pPr>
              <w:spacing w:after="40" w:before="40"/>
            </w:pPr>
            <w:r>
              <w:rPr>
                <w:rFonts w:ascii="Calibri" w:hAnsi="Calibri"/>
                <w:sz w:val="19"/>
              </w:rPr>
            </w:r>
            <w:r>
              <w:rPr>
                <w:rFonts w:ascii="Calibri" w:hAnsi="Calibri"/>
                <w:b w:val="0"/>
                <w:i w:val="0"/>
                <w:sz w:val="19"/>
              </w:rPr>
              <w:t>4 Draft v1.0 (full density)</w:t>
            </w:r>
          </w:p>
        </w:tc>
        <w:tc>
          <w:tcPr>
            <w:tcW w:type="dxa" w:w="1296"/>
          </w:tcPr>
          <w:p>
            <w:pPr>
              <w:spacing w:after="40" w:before="40"/>
            </w:pPr>
            <w:r>
              <w:rPr>
                <w:rFonts w:ascii="Calibri" w:hAnsi="Calibri"/>
                <w:sz w:val="19"/>
              </w:rPr>
            </w:r>
            <w:r>
              <w:rPr>
                <w:rFonts w:ascii="Calibri" w:hAnsi="Calibri"/>
                <w:b w:val="0"/>
                <w:i w:val="0"/>
                <w:sz w:val="19"/>
              </w:rPr>
              <w:t>I</w:t>
            </w:r>
          </w:p>
        </w:tc>
        <w:tc>
          <w:tcPr>
            <w:tcW w:type="dxa" w:w="3312"/>
          </w:tcPr>
          <w:p>
            <w:pPr>
              <w:spacing w:after="40" w:before="40"/>
            </w:pPr>
            <w:r>
              <w:rPr>
                <w:rFonts w:ascii="Calibri" w:hAnsi="Calibri"/>
                <w:sz w:val="19"/>
              </w:rPr>
            </w:r>
            <w:r>
              <w:rPr>
                <w:rFonts w:ascii="Calibri" w:hAnsi="Calibri"/>
                <w:b w:val="0"/>
                <w:i w:val="0"/>
                <w:sz w:val="19"/>
              </w:rPr>
              <w:t>—</w:t>
            </w:r>
          </w:p>
        </w:tc>
        <w:tc>
          <w:tcPr>
            <w:tcW w:type="dxa" w:w="2016"/>
          </w:tcPr>
          <w:p>
            <w:pPr>
              <w:spacing w:after="40" w:before="40"/>
            </w:pPr>
            <w:r>
              <w:rPr>
                <w:rFonts w:ascii="Calibri" w:hAnsi="Calibri"/>
                <w:sz w:val="19"/>
              </w:rPr>
            </w:r>
            <w:r>
              <w:rPr>
                <w:rFonts w:ascii="Calibri" w:hAnsi="Calibri"/>
                <w:b w:val="0"/>
                <w:i w:val="0"/>
                <w:sz w:val="19"/>
              </w:rPr>
              <w:t>Draft v1.0</w:t>
            </w:r>
          </w:p>
        </w:tc>
        <w:tc>
          <w:tcPr>
            <w:tcW w:type="dxa" w:w="2016"/>
          </w:tcPr>
          <w:p>
            <w:pPr>
              <w:spacing w:after="40" w:before="40"/>
            </w:pPr>
            <w:r>
              <w:rPr>
                <w:rFonts w:ascii="Calibri" w:hAnsi="Calibri"/>
                <w:sz w:val="19"/>
              </w:rPr>
            </w:r>
            <w:r>
              <w:rPr>
                <w:rFonts w:ascii="Calibri" w:hAnsi="Calibri"/>
                <w:b w:val="0"/>
                <w:i w:val="0"/>
                <w:sz w:val="19"/>
              </w:rPr>
              <w:t>—</w:t>
            </w:r>
          </w:p>
        </w:tc>
      </w:tr>
      <w:tr>
        <w:tc>
          <w:tcPr>
            <w:tcW w:type="dxa" w:w="4176"/>
            <w:shd w:val="clear" w:color="auto" w:fill="EEF3F5"/>
          </w:tcPr>
          <w:p>
            <w:pPr>
              <w:spacing w:after="40" w:before="40"/>
            </w:pPr>
            <w:r>
              <w:rPr>
                <w:rFonts w:ascii="Calibri" w:hAnsi="Calibri"/>
                <w:sz w:val="19"/>
              </w:rPr>
            </w:r>
            <w:r>
              <w:rPr>
                <w:rFonts w:ascii="Calibri" w:hAnsi="Calibri"/>
                <w:b w:val="0"/>
                <w:i w:val="0"/>
                <w:sz w:val="19"/>
              </w:rPr>
              <w:t>5 Quality passes</w:t>
            </w:r>
          </w:p>
        </w:tc>
        <w:tc>
          <w:tcPr>
            <w:tcW w:type="dxa" w:w="1296"/>
            <w:shd w:val="clear" w:color="auto" w:fill="EEF3F5"/>
          </w:tcPr>
          <w:p>
            <w:pPr>
              <w:spacing w:after="40" w:before="40"/>
            </w:pPr>
            <w:r>
              <w:rPr>
                <w:rFonts w:ascii="Calibri" w:hAnsi="Calibri"/>
                <w:sz w:val="19"/>
              </w:rPr>
            </w:r>
            <w:r>
              <w:rPr>
                <w:rFonts w:ascii="Calibri" w:hAnsi="Calibri"/>
                <w:b w:val="0"/>
                <w:i w:val="0"/>
                <w:sz w:val="19"/>
              </w:rPr>
              <w:t>A,E,S,I</w:t>
            </w:r>
          </w:p>
        </w:tc>
        <w:tc>
          <w:tcPr>
            <w:tcW w:type="dxa" w:w="3312"/>
            <w:shd w:val="clear" w:color="auto" w:fill="EEF3F5"/>
          </w:tcPr>
          <w:p>
            <w:pPr>
              <w:spacing w:after="40" w:before="40"/>
            </w:pPr>
            <w:r>
              <w:rPr>
                <w:rFonts w:ascii="Calibri" w:hAnsi="Calibri"/>
                <w:sz w:val="19"/>
              </w:rPr>
            </w:r>
            <w:r>
              <w:rPr>
                <w:rFonts w:ascii="Calibri" w:hAnsi="Calibri"/>
                <w:b w:val="0"/>
                <w:i w:val="0"/>
                <w:sz w:val="19"/>
              </w:rPr>
              <w:t>—</w:t>
            </w:r>
          </w:p>
        </w:tc>
        <w:tc>
          <w:tcPr>
            <w:tcW w:type="dxa" w:w="2016"/>
            <w:shd w:val="clear" w:color="auto" w:fill="EEF3F5"/>
          </w:tcPr>
          <w:p>
            <w:pPr>
              <w:spacing w:after="40" w:before="40"/>
            </w:pPr>
            <w:r>
              <w:rPr>
                <w:rFonts w:ascii="Calibri" w:hAnsi="Calibri"/>
                <w:sz w:val="19"/>
              </w:rPr>
            </w:r>
            <w:r>
              <w:rPr>
                <w:rFonts w:ascii="Calibri" w:hAnsi="Calibri"/>
                <w:b w:val="0"/>
                <w:i w:val="0"/>
                <w:sz w:val="19"/>
              </w:rPr>
              <w:t>self-check</w:t>
            </w:r>
          </w:p>
        </w:tc>
        <w:tc>
          <w:tcPr>
            <w:tcW w:type="dxa" w:w="2016"/>
            <w:shd w:val="clear" w:color="auto" w:fill="EEF3F5"/>
          </w:tcPr>
          <w:p>
            <w:pPr>
              <w:spacing w:after="40" w:before="40"/>
            </w:pPr>
            <w:r>
              <w:rPr>
                <w:rFonts w:ascii="Calibri" w:hAnsi="Calibri"/>
                <w:sz w:val="19"/>
              </w:rPr>
            </w:r>
            <w:r>
              <w:rPr>
                <w:rFonts w:ascii="Calibri" w:hAnsi="Calibri"/>
                <w:b w:val="0"/>
                <w:i w:val="0"/>
                <w:sz w:val="19"/>
              </w:rPr>
              <w:t>—</w:t>
            </w:r>
          </w:p>
        </w:tc>
      </w:tr>
      <w:tr>
        <w:tc>
          <w:tcPr>
            <w:tcW w:type="dxa" w:w="4176"/>
          </w:tcPr>
          <w:p>
            <w:pPr>
              <w:spacing w:after="40" w:before="40"/>
            </w:pPr>
            <w:r>
              <w:rPr>
                <w:rFonts w:ascii="Calibri" w:hAnsi="Calibri"/>
                <w:sz w:val="19"/>
              </w:rPr>
            </w:r>
            <w:r>
              <w:rPr>
                <w:rFonts w:ascii="Calibri" w:hAnsi="Calibri"/>
                <w:b w:val="0"/>
                <w:i w:val="0"/>
                <w:sz w:val="19"/>
              </w:rPr>
              <w:t>6 Style &amp; Voice (rounds until converged; fresh model reads; per-¶ ledger)</w:t>
            </w:r>
          </w:p>
        </w:tc>
        <w:tc>
          <w:tcPr>
            <w:tcW w:type="dxa" w:w="1296"/>
          </w:tcPr>
          <w:p>
            <w:pPr>
              <w:spacing w:after="40" w:before="40"/>
            </w:pPr>
            <w:r>
              <w:rPr>
                <w:rFonts w:ascii="Calibri" w:hAnsi="Calibri"/>
                <w:sz w:val="19"/>
              </w:rPr>
            </w:r>
            <w:r>
              <w:rPr>
                <w:rFonts w:ascii="Calibri" w:hAnsi="Calibri"/>
                <w:b w:val="0"/>
                <w:i w:val="0"/>
                <w:sz w:val="19"/>
              </w:rPr>
              <w:t>S</w:t>
            </w:r>
          </w:p>
        </w:tc>
        <w:tc>
          <w:tcPr>
            <w:tcW w:type="dxa" w:w="3312"/>
          </w:tcPr>
          <w:p>
            <w:pPr>
              <w:spacing w:after="40" w:before="40"/>
            </w:pPr>
            <w:r>
              <w:rPr>
                <w:rFonts w:ascii="Calibri" w:hAnsi="Calibri"/>
                <w:sz w:val="19"/>
              </w:rPr>
            </w:r>
            <w:r>
              <w:rPr>
                <w:rFonts w:ascii="Calibri" w:hAnsi="Calibri"/>
                <w:b w:val="0"/>
                <w:i w:val="0"/>
                <w:sz w:val="19"/>
              </w:rPr>
              <w:t>copy-critic (whitelist)</w:t>
            </w:r>
          </w:p>
        </w:tc>
        <w:tc>
          <w:tcPr>
            <w:tcW w:type="dxa" w:w="2016"/>
          </w:tcPr>
          <w:p>
            <w:pPr>
              <w:spacing w:after="40" w:before="40"/>
            </w:pPr>
            <w:r>
              <w:rPr>
                <w:rFonts w:ascii="Calibri" w:hAnsi="Calibri"/>
                <w:sz w:val="19"/>
              </w:rPr>
            </w:r>
            <w:r>
              <w:rPr>
                <w:rFonts w:ascii="Calibri" w:hAnsi="Calibri"/>
                <w:b w:val="0"/>
                <w:i w:val="0"/>
                <w:sz w:val="19"/>
              </w:rPr>
              <w:t>self-check</w:t>
            </w:r>
          </w:p>
        </w:tc>
        <w:tc>
          <w:tcPr>
            <w:tcW w:type="dxa" w:w="2016"/>
          </w:tcPr>
          <w:p>
            <w:pPr>
              <w:spacing w:after="40" w:before="40"/>
            </w:pPr>
            <w:r>
              <w:rPr>
                <w:rFonts w:ascii="Calibri" w:hAnsi="Calibri"/>
                <w:sz w:val="19"/>
              </w:rPr>
            </w:r>
            <w:r>
              <w:rPr>
                <w:rFonts w:ascii="Calibri" w:hAnsi="Calibri"/>
                <w:b w:val="0"/>
                <w:i w:val="0"/>
                <w:sz w:val="19"/>
              </w:rPr>
              <w:t>—</w:t>
            </w:r>
          </w:p>
        </w:tc>
      </w:tr>
      <w:tr>
        <w:tc>
          <w:tcPr>
            <w:tcW w:type="dxa" w:w="4176"/>
            <w:shd w:val="clear" w:color="auto" w:fill="EEF3F5"/>
          </w:tcPr>
          <w:p>
            <w:pPr>
              <w:spacing w:after="40" w:before="40"/>
            </w:pPr>
            <w:r>
              <w:rPr>
                <w:rFonts w:ascii="Calibri" w:hAnsi="Calibri"/>
                <w:sz w:val="19"/>
              </w:rPr>
            </w:r>
            <w:r>
              <w:rPr>
                <w:rFonts w:ascii="Calibri" w:hAnsi="Calibri"/>
                <w:b w:val="0"/>
                <w:i w:val="0"/>
                <w:sz w:val="19"/>
              </w:rPr>
              <w:t>7 Author read + round applied</w:t>
            </w:r>
          </w:p>
        </w:tc>
        <w:tc>
          <w:tcPr>
            <w:tcW w:type="dxa" w:w="1296"/>
            <w:shd w:val="clear" w:color="auto" w:fill="EEF3F5"/>
          </w:tcPr>
          <w:p>
            <w:pPr>
              <w:spacing w:after="40" w:before="40"/>
            </w:pPr>
            <w:r>
              <w:rPr>
                <w:rFonts w:ascii="Calibri" w:hAnsi="Calibri"/>
                <w:sz w:val="19"/>
              </w:rPr>
            </w:r>
            <w:r>
              <w:rPr>
                <w:rFonts w:ascii="Calibri" w:hAnsi="Calibri"/>
                <w:b w:val="0"/>
                <w:i w:val="0"/>
                <w:sz w:val="19"/>
              </w:rPr>
              <w:t>—</w:t>
            </w:r>
          </w:p>
        </w:tc>
        <w:tc>
          <w:tcPr>
            <w:tcW w:type="dxa" w:w="3312"/>
            <w:shd w:val="clear" w:color="auto" w:fill="EEF3F5"/>
          </w:tcPr>
          <w:p>
            <w:pPr>
              <w:spacing w:after="40" w:before="40"/>
            </w:pPr>
            <w:r>
              <w:rPr>
                <w:rFonts w:ascii="Calibri" w:hAnsi="Calibri"/>
                <w:sz w:val="19"/>
              </w:rPr>
            </w:r>
            <w:r>
              <w:rPr>
                <w:rFonts w:ascii="Calibri" w:hAnsi="Calibri"/>
                <w:b w:val="0"/>
                <w:i w:val="0"/>
                <w:sz w:val="19"/>
              </w:rPr>
              <w:t>—</w:t>
            </w:r>
          </w:p>
        </w:tc>
        <w:tc>
          <w:tcPr>
            <w:tcW w:type="dxa" w:w="2016"/>
            <w:shd w:val="clear" w:color="auto" w:fill="EEF3F5"/>
          </w:tcPr>
          <w:p>
            <w:pPr>
              <w:spacing w:after="40" w:before="40"/>
            </w:pPr>
            <w:r>
              <w:rPr>
                <w:rFonts w:ascii="Calibri" w:hAnsi="Calibri"/>
                <w:sz w:val="19"/>
              </w:rPr>
            </w:r>
            <w:r>
              <w:rPr>
                <w:rFonts w:ascii="Calibri" w:hAnsi="Calibri"/>
                <w:b w:val="0"/>
                <w:i w:val="0"/>
                <w:sz w:val="19"/>
              </w:rPr>
              <w:t>Author changes</w:t>
            </w:r>
          </w:p>
        </w:tc>
        <w:tc>
          <w:tcPr>
            <w:tcW w:type="dxa" w:w="2016"/>
            <w:shd w:val="clear" w:color="auto" w:fill="EEF3F5"/>
          </w:tcPr>
          <w:p>
            <w:pPr>
              <w:spacing w:after="40" w:before="40"/>
            </w:pPr>
            <w:r>
              <w:rPr>
                <w:rFonts w:ascii="Calibri" w:hAnsi="Calibri"/>
                <w:sz w:val="19"/>
              </w:rPr>
            </w:r>
            <w:r>
              <w:rPr>
                <w:rFonts w:ascii="Calibri" w:hAnsi="Calibri"/>
                <w:b w:val="0"/>
                <w:i w:val="0"/>
                <w:sz w:val="19"/>
              </w:rPr>
              <w:t>GATE 3</w:t>
            </w:r>
          </w:p>
        </w:tc>
      </w:tr>
      <w:tr>
        <w:tc>
          <w:tcPr>
            <w:tcW w:type="dxa" w:w="4176"/>
          </w:tcPr>
          <w:p>
            <w:pPr>
              <w:spacing w:after="40" w:before="40"/>
            </w:pPr>
            <w:r>
              <w:rPr>
                <w:rFonts w:ascii="Calibri" w:hAnsi="Calibri"/>
                <w:sz w:val="19"/>
              </w:rPr>
            </w:r>
            <w:r>
              <w:rPr>
                <w:rFonts w:ascii="Calibri" w:hAnsi="Calibri"/>
                <w:b w:val="0"/>
                <w:i w:val="0"/>
                <w:sz w:val="19"/>
              </w:rPr>
              <w:t>8 Referee panel</w:t>
            </w:r>
          </w:p>
        </w:tc>
        <w:tc>
          <w:tcPr>
            <w:tcW w:type="dxa" w:w="1296"/>
          </w:tcPr>
          <w:p>
            <w:pPr>
              <w:spacing w:after="40" w:before="40"/>
            </w:pPr>
            <w:r>
              <w:rPr>
                <w:rFonts w:ascii="Calibri" w:hAnsi="Calibri"/>
                <w:sz w:val="19"/>
              </w:rPr>
            </w:r>
            <w:r>
              <w:rPr>
                <w:rFonts w:ascii="Calibri" w:hAnsi="Calibri"/>
                <w:b w:val="0"/>
                <w:i w:val="0"/>
                <w:sz w:val="19"/>
              </w:rPr>
              <w:t>—</w:t>
            </w:r>
          </w:p>
        </w:tc>
        <w:tc>
          <w:tcPr>
            <w:tcW w:type="dxa" w:w="3312"/>
          </w:tcPr>
          <w:p>
            <w:pPr>
              <w:spacing w:after="40" w:before="40"/>
            </w:pPr>
            <w:r>
              <w:rPr>
                <w:rFonts w:ascii="Calibri" w:hAnsi="Calibri"/>
                <w:sz w:val="19"/>
              </w:rPr>
            </w:r>
            <w:r>
              <w:rPr>
                <w:rFonts w:ascii="Calibri" w:hAnsi="Calibri"/>
                <w:b w:val="0"/>
                <w:i w:val="0"/>
                <w:sz w:val="19"/>
              </w:rPr>
              <w:t>referee ×3 BLIND (capped) + case-for-acceptance</w:t>
            </w:r>
          </w:p>
        </w:tc>
        <w:tc>
          <w:tcPr>
            <w:tcW w:type="dxa" w:w="2016"/>
          </w:tcPr>
          <w:p>
            <w:pPr>
              <w:spacing w:after="40" w:before="40"/>
            </w:pPr>
            <w:r>
              <w:rPr>
                <w:rFonts w:ascii="Calibri" w:hAnsi="Calibri"/>
                <w:sz w:val="19"/>
              </w:rPr>
            </w:r>
            <w:r>
              <w:rPr>
                <w:rFonts w:ascii="Calibri" w:hAnsi="Calibri"/>
                <w:b w:val="0"/>
                <w:i w:val="0"/>
                <w:sz w:val="19"/>
              </w:rPr>
              <w:t>self-check</w:t>
            </w:r>
          </w:p>
        </w:tc>
        <w:tc>
          <w:tcPr>
            <w:tcW w:type="dxa" w:w="2016"/>
          </w:tcPr>
          <w:p>
            <w:pPr>
              <w:spacing w:after="40" w:before="40"/>
            </w:pPr>
            <w:r>
              <w:rPr>
                <w:rFonts w:ascii="Calibri" w:hAnsi="Calibri"/>
                <w:sz w:val="19"/>
              </w:rPr>
            </w:r>
            <w:r>
              <w:rPr>
                <w:rFonts w:ascii="Calibri" w:hAnsi="Calibri"/>
                <w:b w:val="0"/>
                <w:i w:val="0"/>
                <w:sz w:val="19"/>
              </w:rPr>
              <w:t>—</w:t>
            </w:r>
          </w:p>
        </w:tc>
      </w:tr>
      <w:tr>
        <w:tc>
          <w:tcPr>
            <w:tcW w:type="dxa" w:w="4176"/>
            <w:shd w:val="clear" w:color="auto" w:fill="EEF3F5"/>
          </w:tcPr>
          <w:p>
            <w:pPr>
              <w:spacing w:after="40" w:before="40"/>
            </w:pPr>
            <w:r>
              <w:rPr>
                <w:rFonts w:ascii="Calibri" w:hAnsi="Calibri"/>
                <w:sz w:val="19"/>
              </w:rPr>
            </w:r>
            <w:r>
              <w:rPr>
                <w:rFonts w:ascii="Calibri" w:hAnsi="Calibri"/>
                <w:b w:val="0"/>
                <w:i w:val="0"/>
                <w:sz w:val="19"/>
              </w:rPr>
              <w:t>9 Author rewrite + changes</w:t>
            </w:r>
          </w:p>
        </w:tc>
        <w:tc>
          <w:tcPr>
            <w:tcW w:type="dxa" w:w="1296"/>
            <w:shd w:val="clear" w:color="auto" w:fill="EEF3F5"/>
          </w:tcPr>
          <w:p>
            <w:pPr>
              <w:spacing w:after="40" w:before="40"/>
            </w:pPr>
            <w:r>
              <w:rPr>
                <w:rFonts w:ascii="Calibri" w:hAnsi="Calibri"/>
                <w:sz w:val="19"/>
              </w:rPr>
            </w:r>
            <w:r>
              <w:rPr>
                <w:rFonts w:ascii="Calibri" w:hAnsi="Calibri"/>
                <w:b w:val="0"/>
                <w:i w:val="0"/>
                <w:sz w:val="19"/>
              </w:rPr>
              <w:t>—</w:t>
            </w:r>
          </w:p>
        </w:tc>
        <w:tc>
          <w:tcPr>
            <w:tcW w:type="dxa" w:w="3312"/>
            <w:shd w:val="clear" w:color="auto" w:fill="EEF3F5"/>
          </w:tcPr>
          <w:p>
            <w:pPr>
              <w:spacing w:after="40" w:before="40"/>
            </w:pPr>
            <w:r>
              <w:rPr>
                <w:rFonts w:ascii="Calibri" w:hAnsi="Calibri"/>
                <w:sz w:val="19"/>
              </w:rPr>
            </w:r>
            <w:r>
              <w:rPr>
                <w:rFonts w:ascii="Calibri" w:hAnsi="Calibri"/>
                <w:b w:val="0"/>
                <w:i w:val="0"/>
                <w:sz w:val="19"/>
              </w:rPr>
              <w:t>—</w:t>
            </w:r>
          </w:p>
        </w:tc>
        <w:tc>
          <w:tcPr>
            <w:tcW w:type="dxa" w:w="2016"/>
            <w:shd w:val="clear" w:color="auto" w:fill="EEF3F5"/>
          </w:tcPr>
          <w:p>
            <w:pPr>
              <w:spacing w:after="40" w:before="40"/>
            </w:pPr>
            <w:r>
              <w:rPr>
                <w:rFonts w:ascii="Calibri" w:hAnsi="Calibri"/>
                <w:sz w:val="19"/>
              </w:rPr>
            </w:r>
            <w:r>
              <w:rPr>
                <w:rFonts w:ascii="Calibri" w:hAnsi="Calibri"/>
                <w:b w:val="0"/>
                <w:i w:val="0"/>
                <w:sz w:val="19"/>
              </w:rPr>
              <w:t>Author changes</w:t>
            </w:r>
          </w:p>
        </w:tc>
        <w:tc>
          <w:tcPr>
            <w:tcW w:type="dxa" w:w="2016"/>
            <w:shd w:val="clear" w:color="auto" w:fill="EEF3F5"/>
          </w:tcPr>
          <w:p>
            <w:pPr>
              <w:spacing w:after="40" w:before="40"/>
            </w:pPr>
            <w:r>
              <w:rPr>
                <w:rFonts w:ascii="Calibri" w:hAnsi="Calibri"/>
                <w:sz w:val="19"/>
              </w:rPr>
            </w:r>
            <w:r>
              <w:rPr>
                <w:rFonts w:ascii="Calibri" w:hAnsi="Calibri"/>
                <w:b w:val="0"/>
                <w:i w:val="0"/>
                <w:sz w:val="19"/>
              </w:rPr>
              <w:t>—</w:t>
            </w:r>
          </w:p>
        </w:tc>
      </w:tr>
      <w:tr>
        <w:tc>
          <w:tcPr>
            <w:tcW w:type="dxa" w:w="4176"/>
          </w:tcPr>
          <w:p>
            <w:pPr>
              <w:spacing w:after="40" w:before="40"/>
            </w:pPr>
            <w:r>
              <w:rPr>
                <w:rFonts w:ascii="Calibri" w:hAnsi="Calibri"/>
                <w:sz w:val="19"/>
              </w:rPr>
            </w:r>
            <w:r>
              <w:rPr>
                <w:rFonts w:ascii="Calibri" w:hAnsi="Calibri"/>
                <w:b w:val="0"/>
                <w:i w:val="0"/>
                <w:sz w:val="19"/>
              </w:rPr>
              <w:t>10 Finishing</w:t>
            </w:r>
          </w:p>
        </w:tc>
        <w:tc>
          <w:tcPr>
            <w:tcW w:type="dxa" w:w="1296"/>
          </w:tcPr>
          <w:p>
            <w:pPr>
              <w:spacing w:after="40" w:before="40"/>
            </w:pPr>
            <w:r>
              <w:rPr>
                <w:rFonts w:ascii="Calibri" w:hAnsi="Calibri"/>
                <w:sz w:val="19"/>
              </w:rPr>
            </w:r>
            <w:r>
              <w:rPr>
                <w:rFonts w:ascii="Calibri" w:hAnsi="Calibri"/>
                <w:b w:val="0"/>
                <w:i w:val="0"/>
                <w:sz w:val="19"/>
              </w:rPr>
              <w:t>A,E,S,I</w:t>
            </w:r>
          </w:p>
        </w:tc>
        <w:tc>
          <w:tcPr>
            <w:tcW w:type="dxa" w:w="3312"/>
          </w:tcPr>
          <w:p>
            <w:pPr>
              <w:spacing w:after="40" w:before="40"/>
            </w:pPr>
            <w:r>
              <w:rPr>
                <w:rFonts w:ascii="Calibri" w:hAnsi="Calibri"/>
                <w:sz w:val="19"/>
              </w:rPr>
            </w:r>
            <w:r>
              <w:rPr>
                <w:rFonts w:ascii="Calibri" w:hAnsi="Calibri"/>
                <w:b w:val="0"/>
                <w:i w:val="0"/>
                <w:sz w:val="19"/>
              </w:rPr>
              <w:t>citation-auditor; copy-critic</w:t>
            </w:r>
          </w:p>
        </w:tc>
        <w:tc>
          <w:tcPr>
            <w:tcW w:type="dxa" w:w="2016"/>
          </w:tcPr>
          <w:p>
            <w:pPr>
              <w:spacing w:after="40" w:before="40"/>
            </w:pPr>
            <w:r>
              <w:rPr>
                <w:rFonts w:ascii="Calibri" w:hAnsi="Calibri"/>
                <w:sz w:val="19"/>
              </w:rPr>
            </w:r>
            <w:r>
              <w:rPr>
                <w:rFonts w:ascii="Calibri" w:hAnsi="Calibri"/>
                <w:b w:val="0"/>
                <w:i w:val="0"/>
                <w:sz w:val="19"/>
              </w:rPr>
              <w:t>Final</w:t>
            </w:r>
          </w:p>
        </w:tc>
        <w:tc>
          <w:tcPr>
            <w:tcW w:type="dxa" w:w="2016"/>
          </w:tcPr>
          <w:p>
            <w:pPr>
              <w:spacing w:after="40" w:before="40"/>
            </w:pPr>
            <w:r>
              <w:rPr>
                <w:rFonts w:ascii="Calibri" w:hAnsi="Calibri"/>
                <w:sz w:val="19"/>
              </w:rPr>
            </w:r>
            <w:r>
              <w:rPr>
                <w:rFonts w:ascii="Calibri" w:hAnsi="Calibri"/>
                <w:b w:val="0"/>
                <w:i w:val="0"/>
                <w:sz w:val="19"/>
              </w:rPr>
              <w:t>Finish (author-owned)</w:t>
            </w:r>
          </w:p>
        </w:tc>
      </w:tr>
      <w:tr>
        <w:tc>
          <w:tcPr>
            <w:tcW w:type="dxa" w:w="4176"/>
            <w:shd w:val="clear" w:color="auto" w:fill="EEF3F5"/>
          </w:tcPr>
          <w:p>
            <w:pPr>
              <w:spacing w:after="40" w:before="40"/>
            </w:pPr>
            <w:r>
              <w:rPr>
                <w:rFonts w:ascii="Calibri" w:hAnsi="Calibri"/>
                <w:sz w:val="19"/>
              </w:rPr>
            </w:r>
            <w:r>
              <w:rPr>
                <w:rFonts w:ascii="Calibri" w:hAnsi="Calibri"/>
                <w:b w:val="0"/>
                <w:i w:val="0"/>
                <w:sz w:val="19"/>
              </w:rPr>
              <w:t>11 Revise &amp; Resubmit (opt.)</w:t>
            </w:r>
          </w:p>
        </w:tc>
        <w:tc>
          <w:tcPr>
            <w:tcW w:type="dxa" w:w="1296"/>
            <w:shd w:val="clear" w:color="auto" w:fill="EEF3F5"/>
          </w:tcPr>
          <w:p>
            <w:pPr>
              <w:spacing w:after="40" w:before="40"/>
            </w:pPr>
            <w:r>
              <w:rPr>
                <w:rFonts w:ascii="Calibri" w:hAnsi="Calibri"/>
                <w:sz w:val="19"/>
              </w:rPr>
            </w:r>
            <w:r>
              <w:rPr>
                <w:rFonts w:ascii="Calibri" w:hAnsi="Calibri"/>
                <w:b w:val="0"/>
                <w:i w:val="0"/>
                <w:sz w:val="19"/>
              </w:rPr>
              <w:t>—</w:t>
            </w:r>
          </w:p>
        </w:tc>
        <w:tc>
          <w:tcPr>
            <w:tcW w:type="dxa" w:w="3312"/>
            <w:shd w:val="clear" w:color="auto" w:fill="EEF3F5"/>
          </w:tcPr>
          <w:p>
            <w:pPr>
              <w:spacing w:after="40" w:before="40"/>
            </w:pPr>
            <w:r>
              <w:rPr>
                <w:rFonts w:ascii="Calibri" w:hAnsi="Calibri"/>
                <w:sz w:val="19"/>
              </w:rPr>
            </w:r>
            <w:r>
              <w:rPr>
                <w:rFonts w:ascii="Calibri" w:hAnsi="Calibri"/>
                <w:b w:val="0"/>
                <w:i w:val="0"/>
                <w:sz w:val="19"/>
              </w:rPr>
              <w:t>citation-auditor</w:t>
            </w:r>
          </w:p>
        </w:tc>
        <w:tc>
          <w:tcPr>
            <w:tcW w:type="dxa" w:w="2016"/>
            <w:shd w:val="clear" w:color="auto" w:fill="EEF3F5"/>
          </w:tcPr>
          <w:p>
            <w:pPr>
              <w:spacing w:after="40" w:before="40"/>
            </w:pPr>
            <w:r>
              <w:rPr>
                <w:rFonts w:ascii="Calibri" w:hAnsi="Calibri"/>
                <w:sz w:val="19"/>
              </w:rPr>
            </w:r>
            <w:r>
              <w:rPr>
                <w:rFonts w:ascii="Calibri" w:hAnsi="Calibri"/>
                <w:b w:val="0"/>
                <w:i w:val="0"/>
                <w:sz w:val="19"/>
              </w:rPr>
              <w:t>—</w:t>
            </w:r>
          </w:p>
        </w:tc>
        <w:tc>
          <w:tcPr>
            <w:tcW w:type="dxa" w:w="2016"/>
            <w:shd w:val="clear" w:color="auto" w:fill="EEF3F5"/>
          </w:tcPr>
          <w:p>
            <w:pPr>
              <w:spacing w:after="40" w:before="40"/>
            </w:pPr>
            <w:r>
              <w:rPr>
                <w:rFonts w:ascii="Calibri" w:hAnsi="Calibri"/>
                <w:sz w:val="19"/>
              </w:rPr>
            </w:r>
            <w:r>
              <w:rPr>
                <w:rFonts w:ascii="Calibri" w:hAnsi="Calibri"/>
                <w:b w:val="0"/>
                <w:i w:val="0"/>
                <w:sz w:val="19"/>
              </w:rPr>
              <w:t>author-led</w:t>
            </w:r>
          </w:p>
        </w:tc>
      </w:tr>
      <w:tr>
        <w:tc>
          <w:tcPr>
            <w:tcW w:type="dxa" w:w="4176"/>
          </w:tcPr>
          <w:p>
            <w:pPr>
              <w:spacing w:after="40" w:before="40"/>
            </w:pPr>
            <w:r>
              <w:rPr>
                <w:rFonts w:ascii="Calibri" w:hAnsi="Calibri"/>
                <w:sz w:val="19"/>
              </w:rPr>
            </w:r>
            <w:r>
              <w:rPr>
                <w:rFonts w:ascii="Calibri" w:hAnsi="Calibri"/>
                <w:b w:val="0"/>
                <w:i w:val="0"/>
                <w:sz w:val="19"/>
              </w:rPr>
              <w:t>12 Retrospective</w:t>
            </w:r>
          </w:p>
        </w:tc>
        <w:tc>
          <w:tcPr>
            <w:tcW w:type="dxa" w:w="1296"/>
          </w:tcPr>
          <w:p>
            <w:pPr>
              <w:spacing w:after="40" w:before="40"/>
            </w:pPr>
            <w:r>
              <w:rPr>
                <w:rFonts w:ascii="Calibri" w:hAnsi="Calibri"/>
                <w:sz w:val="19"/>
              </w:rPr>
            </w:r>
            <w:r>
              <w:rPr>
                <w:rFonts w:ascii="Calibri" w:hAnsi="Calibri"/>
                <w:b w:val="0"/>
                <w:i w:val="0"/>
                <w:sz w:val="19"/>
              </w:rPr>
              <w:t>—</w:t>
            </w:r>
          </w:p>
        </w:tc>
        <w:tc>
          <w:tcPr>
            <w:tcW w:type="dxa" w:w="3312"/>
          </w:tcPr>
          <w:p>
            <w:pPr>
              <w:spacing w:after="40" w:before="40"/>
            </w:pPr>
            <w:r>
              <w:rPr>
                <w:rFonts w:ascii="Calibri" w:hAnsi="Calibri"/>
                <w:sz w:val="19"/>
              </w:rPr>
            </w:r>
            <w:r>
              <w:rPr>
                <w:rFonts w:ascii="Calibri" w:hAnsi="Calibri"/>
                <w:b w:val="0"/>
                <w:i w:val="0"/>
                <w:sz w:val="19"/>
              </w:rPr>
              <w:t>—</w:t>
            </w:r>
          </w:p>
        </w:tc>
        <w:tc>
          <w:tcPr>
            <w:tcW w:type="dxa" w:w="2016"/>
          </w:tcPr>
          <w:p>
            <w:pPr>
              <w:spacing w:after="40" w:before="40"/>
            </w:pPr>
            <w:r>
              <w:rPr>
                <w:rFonts w:ascii="Calibri" w:hAnsi="Calibri"/>
                <w:sz w:val="19"/>
              </w:rPr>
            </w:r>
            <w:r>
              <w:rPr>
                <w:rFonts w:ascii="Calibri" w:hAnsi="Calibri"/>
                <w:b w:val="0"/>
                <w:i w:val="0"/>
                <w:sz w:val="19"/>
              </w:rPr>
              <w:t>—</w:t>
            </w:r>
          </w:p>
        </w:tc>
        <w:tc>
          <w:tcPr>
            <w:tcW w:type="dxa" w:w="2016"/>
          </w:tcPr>
          <w:p>
            <w:pPr>
              <w:spacing w:after="40" w:before="40"/>
            </w:pPr>
            <w:r>
              <w:rPr>
                <w:rFonts w:ascii="Calibri" w:hAnsi="Calibri"/>
                <w:sz w:val="19"/>
              </w:rPr>
            </w:r>
            <w:r>
              <w:rPr>
                <w:rFonts w:ascii="Calibri" w:hAnsi="Calibri"/>
                <w:b w:val="0"/>
                <w:i w:val="0"/>
                <w:sz w:val="19"/>
              </w:rPr>
              <w:t>—</w:t>
            </w:r>
          </w:p>
        </w:tc>
      </w:tr>
    </w:tbl>
    <w:p>
      <w:pPr>
        <w:spacing w:after="40"/>
      </w:pPr>
    </w:p>
    <w:sectPr w:rsidR="00FC693F" w:rsidRPr="0006063C" w:rsidSect="00034616">
      <w:headerReference w:type="default" r:id="rId9"/>
      <w:footerReference w:type="default" r:id="rId10"/>
      <w:pgSz w:w="12240" w:h="15840"/>
      <w:pgMar w:top="1152" w:right="864" w:bottom="1152" w:left="864"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C9D6DC"/>
      </w:pBdr>
      <w:tabs>
        <w:tab w:pos="10512" w:val="right"/>
      </w:tabs>
    </w:pPr>
    <w:r>
      <w:rPr>
        <w:rFonts w:ascii="Calibri" w:hAnsi="Calibri"/>
        <w:b w:val="0"/>
        <w:i w:val="0"/>
        <w:color w:val="707070"/>
        <w:sz w:val="17"/>
      </w:rPr>
      <w:t>Deep Drafter   |   Pipeline v1.0</w:t>
      <w:tab/>
    </w:r>
    <w:r>
      <w:rPr>
        <w:rFonts w:ascii="Calibri" w:hAnsi="Calibri"/>
        <w:b w:val="0"/>
        <w:i w:val="0"/>
        <w:color w:val="707070"/>
        <w:sz w:val="17"/>
      </w:rPr>
      <w:t xml:space="preserve">Page </w:t>
    </w:r>
    <w:r>
      <w:rPr>
        <w:rFonts w:ascii="Calibri" w:hAnsi="Calibri"/>
        <w:b w:val="0"/>
        <w:i w:val="0"/>
        <w:color w:val="707070"/>
        <w:sz w:val="17"/>
      </w:rPr>
      <w:fldChar w:fldCharType="begin"/>
    </w:r>
    <w:r>
      <w:rPr>
        <w:rFonts w:ascii="Calibri" w:hAnsi="Calibri"/>
        <w:b w:val="0"/>
        <w:i w:val="0"/>
        <w:color w:val="707070"/>
        <w:sz w:val="17"/>
      </w:rPr>
      <w:instrText xml:space="preserve"> PAGE </w:instrText>
    </w:r>
    <w:r>
      <w:rPr>
        <w:rFonts w:ascii="Calibri" w:hAnsi="Calibri"/>
        <w:b w:val="0"/>
        <w:i w:val="0"/>
        <w:color w:val="70707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Bdr>
        <w:bottom w:val="single" w:sz="4" w:space="4" w:color="C9D6DC"/>
      </w:pBdr>
    </w:pPr>
    <w:r>
      <w:rPr>
        <w:rFonts w:ascii="Calibri" w:hAnsi="Calibri"/>
        <w:b w:val="0"/>
        <w:i w:val="0"/>
        <w:color w:val="707070"/>
        <w:sz w:val="17"/>
      </w:rPr>
      <w:t>Deep Drafter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44546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4546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454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