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Context: Authors, Venues, and Standing Preferences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Shared reference read at the start of every paper. v1.0 — Shareable Edition; filled in at setup (see 'SETUP — Personalize the Agent').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HOW TO USE THIS DOC. Part 1 (authors, preferences, venues) is stable background, filled in ONCE at setup and updated as facts change. Part 2 (§5) is filled in PER PAPER. Anything marked [TODO] must be asked, not assumed — and Claude should verify affiliations and titles with the author rather than trusting training memory.</w:t>
      </w:r>
    </w:p>
    <w:p>
      <w:pPr>
        <w:pStyle w:val="Heading1"/>
        <w:pBdr>
          <w:bottom w:val="single" w:sz="8" w:space="4" w:color="44546A"/>
        </w:pBdr>
      </w:pPr>
      <w:r>
        <w:t>1. The author(s)</w:t>
      </w:r>
    </w:p>
    <w:p>
      <w:pPr>
        <w:pStyle w:val="ListBullet"/>
      </w:pPr>
      <w:r>
        <w:rPr>
          <w:b w:val="0"/>
          <w:i w:val="0"/>
        </w:rPr>
        <w:t>[TODO] Name — field and subfield; affiliation; role. Anything a venue's author line needs.</w:t>
      </w:r>
    </w:p>
    <w:p>
      <w:pPr>
        <w:pStyle w:val="ListBullet"/>
      </w:pPr>
      <w:r>
        <w:rPr>
          <w:b w:val="0"/>
          <w:i w:val="0"/>
        </w:rPr>
        <w:t>[TODO] Notable prior work (books, known papers) — used for voice calibration and for checking that a new paper doesn't silently contradict the author's published positions.</w:t>
      </w:r>
    </w:p>
    <w:p>
      <w:pPr>
        <w:pStyle w:val="ListBullet"/>
      </w:pPr>
      <w:r>
        <w:rPr>
          <w:b w:val="0"/>
          <w:i w:val="0"/>
        </w:rPr>
        <w:t>[TODO] Author-order convention in this field (alphabetical / contribution / seniority) — the default for every coauthored paper unless a paper's profile says otherwise.</w:t>
      </w:r>
    </w:p>
    <w:p>
      <w:pPr>
        <w:pStyle w:val="Heading1"/>
        <w:pBdr>
          <w:bottom w:val="single" w:sz="8" w:space="4" w:color="44546A"/>
        </w:pBdr>
      </w:pPr>
      <w:r>
        <w:t>2. Frequent coauthors</w:t>
      </w:r>
    </w:p>
    <w:p>
      <w:pPr>
        <w:pStyle w:val="ListBullet"/>
      </w:pPr>
      <w:r>
        <w:rPr>
          <w:b w:val="0"/>
          <w:i w:val="0"/>
        </w:rPr>
        <w:t>[TODO] Name — field; affiliation; what they typically bring to a joint paper. (One bullet per coauthor. Confirm the coauthors and the author order for EACH paper in §5 — they vary by project.)</w:t>
      </w:r>
    </w:p>
    <w:p>
      <w:pPr>
        <w:pStyle w:val="Heading1"/>
        <w:pBdr>
          <w:bottom w:val="single" w:sz="8" w:space="4" w:color="44546A"/>
        </w:pBdr>
      </w:pPr>
      <w:r>
        <w:t>3. Standing voice &amp; content preferences</w:t>
      </w:r>
    </w:p>
    <w:p>
      <w:pPr>
        <w:pStyle w:val="ListBullet"/>
      </w:pPr>
      <w:r>
        <w:rPr>
          <w:b w:val="0"/>
          <w:i w:val="0"/>
        </w:rPr>
        <w:t>[TODO] Substantive commitments the agent should respect across papers — positions the author builds on, framings to avoid, sources or literatures the author considers unreliable.</w:t>
      </w:r>
    </w:p>
    <w:p>
      <w:pPr>
        <w:pStyle w:val="ListBullet"/>
      </w:pPr>
      <w:r>
        <w:rPr>
          <w:b w:val="0"/>
          <w:i w:val="0"/>
        </w:rPr>
        <w:t>Strong, direct arguments (see the Writing Guide). No editorializing, no verbal disputes, one move per sentence; each argument appears in exactly one place. [Confirm or adjust at setup.]</w:t>
      </w:r>
    </w:p>
    <w:p>
      <w:pPr>
        <w:pStyle w:val="ListBullet"/>
      </w:pPr>
      <w:r>
        <w:rPr>
          <w:b w:val="0"/>
          <w:i w:val="0"/>
        </w:rPr>
        <w:t>Prefer cutting or footnoting to hedging. When a claim is uncertain, cut it or footnote it rather than softening the prose. [Confirm or adjust at setup.]</w:t>
      </w:r>
    </w:p>
    <w:p>
      <w:pPr>
        <w:pStyle w:val="ListBullet"/>
      </w:pPr>
      <w:r>
        <w:rPr>
          <w:b w:val="0"/>
          <w:i w:val="0"/>
        </w:rPr>
        <w:t>[TODO] Formal-work conventions, if any (notation preferences, plain-English vs symbolic variable names, where proofs live).</w:t>
      </w:r>
    </w:p>
    <w:p>
      <w:pPr>
        <w:pStyle w:val="ListBullet"/>
      </w:pPr>
      <w:r>
        <w:rPr>
          <w:b w:val="0"/>
          <w:i w:val="0"/>
        </w:rPr>
        <w:t>[TODO] Bracket-comment initials the author will use in documents (e.g. '[ab: tighten this]').</w:t>
      </w:r>
    </w:p>
    <w:p>
      <w:pPr>
        <w:pStyle w:val="ListBullet"/>
      </w:pPr>
      <w:r>
        <w:rPr>
          <w:b w:val="0"/>
          <w:i w:val="0"/>
        </w:rPr>
        <w:t>[TODO] Marking color for Claude's reviewable additions in author rounds (default blue; final drafts always clean black).</w:t>
      </w:r>
    </w:p>
    <w:p>
      <w:pPr>
        <w:pStyle w:val="ListBullet"/>
      </w:pPr>
      <w:r>
        <w:rPr>
          <w:b w:val="0"/>
          <w:i w:val="0"/>
        </w:rPr>
        <w:t>[TODO] Paper-draft appearance (default: Arial, black text only, real Word footnotes, page numbers in the footer, no page header, no heading rules — implemented by gen_paper_docx.py). Record any deviation here.</w:t>
      </w:r>
    </w:p>
    <w:p>
      <w:pPr>
        <w:pStyle w:val="ListBullet"/>
      </w:pPr>
      <w:r>
        <w:rPr>
          <w:b w:val="0"/>
          <w:i w:val="0"/>
        </w:rPr>
        <w:t>[TODO] AI-use disclosure stance: what the author discloses, where, in what words — re-confirmed per venue at each paper's Intake. Nothing is submitted until this is settled for that venue.</w:t>
      </w:r>
    </w:p>
    <w:p>
      <w:pPr>
        <w:pStyle w:val="Heading1"/>
        <w:pBdr>
          <w:bottom w:val="single" w:sz="8" w:space="4" w:color="44546A"/>
        </w:pBdr>
      </w:pPr>
      <w:r>
        <w:t>4. Venues (typical)</w:t>
      </w:r>
    </w:p>
    <w:p>
      <w:pPr>
        <w:pStyle w:val="ListBullet"/>
      </w:pPr>
      <w:r>
        <w:rPr>
          <w:b w:val="0"/>
          <w:i w:val="0"/>
        </w:rPr>
        <w:t>[TODO] The venues the author actually targets, per paper type, with length limits and register notes (each journal has its own — confirm per paper). One bullet per venue or venue family.</w:t>
      </w:r>
    </w:p>
    <w:p>
      <w:pPr>
        <w:pStyle w:val="Heading1"/>
        <w:pBdr>
          <w:bottom w:val="single" w:sz="8" w:space="4" w:color="44546A"/>
        </w:pBdr>
      </w:pPr>
      <w:r>
        <w:t>5. Per-paper profile (copy this block into each paper's Brief / Setup Brief and fill it)</w:t>
      </w:r>
    </w:p>
    <w:p>
      <w:pPr>
        <w:pStyle w:val="ListBullet"/>
      </w:pPr>
      <w:r>
        <w:rPr>
          <w:b w:val="0"/>
          <w:i w:val="0"/>
        </w:rPr>
        <w:t>Paper title: [TODO]</w:t>
      </w:r>
    </w:p>
    <w:p>
      <w:pPr>
        <w:pStyle w:val="ListBullet"/>
      </w:pPr>
      <w:r>
        <w:rPr>
          <w:b w:val="0"/>
          <w:i w:val="0"/>
        </w:rPr>
        <w:t>Paper type (per the Style Modules on hand): [TODO]</w:t>
      </w:r>
    </w:p>
    <w:p>
      <w:pPr>
        <w:pStyle w:val="ListBullet"/>
      </w:pPr>
      <w:r>
        <w:rPr>
          <w:b w:val="0"/>
          <w:i w:val="0"/>
        </w:rPr>
        <w:t>Target venue + its length limit: [TODO]</w:t>
      </w:r>
    </w:p>
    <w:p>
      <w:pPr>
        <w:pStyle w:val="ListBullet"/>
      </w:pPr>
      <w:r>
        <w:rPr>
          <w:b w:val="0"/>
          <w:i w:val="0"/>
        </w:rPr>
        <w:t>Coauthors on THIS paper + confirmed author order: [TODO]</w:t>
      </w:r>
    </w:p>
    <w:p>
      <w:pPr>
        <w:pStyle w:val="ListBullet"/>
      </w:pPr>
      <w:r>
        <w:rPr>
          <w:b w:val="0"/>
          <w:i w:val="0"/>
        </w:rPr>
        <w:t>Model-prose anchor (the prior paper to imitate for voice): [TODO]</w:t>
      </w:r>
    </w:p>
    <w:p>
      <w:pPr>
        <w:pStyle w:val="ListBullet"/>
      </w:pPr>
      <w:r>
        <w:rPr>
          <w:b w:val="0"/>
          <w:i w:val="0"/>
        </w:rPr>
        <w:t>Hard-nos for THIS paper (topical exclusions, positions to avoid): [TODO]</w:t>
      </w:r>
    </w:p>
    <w:p>
      <w:pPr>
        <w:pStyle w:val="ListBullet"/>
      </w:pPr>
      <w:r>
        <w:rPr>
          <w:b w:val="0"/>
          <w:i w:val="0"/>
        </w:rPr>
        <w:t>Division of labor (how aggressively to cut; who writes the Stage-9 substantive rewrite): [TODO]</w:t>
      </w:r>
    </w:p>
    <w:p>
      <w:pPr>
        <w:pStyle w:val="ListBullet"/>
      </w:pPr>
      <w:r>
        <w:rPr>
          <w:b w:val="0"/>
          <w:i w:val="0"/>
        </w:rPr>
        <w:t>AI-disclosure decision for THIS venue: [TODO]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Context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