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546A"/>
          <w:sz w:val="42"/>
        </w:rPr>
        <w:t>Revise &amp; Resubmit Module</w:t>
      </w:r>
    </w:p>
    <w:p>
      <w:pPr>
        <w:jc w:val="center"/>
      </w:pPr>
      <w:r>
        <w:rPr>
          <w:rFonts w:ascii="Calibri" w:hAnsi="Calibri"/>
          <w:i/>
          <w:color w:val="555555"/>
          <w:sz w:val="21"/>
        </w:rPr>
        <w:t>Pipeline Stage 11 — when a journal returns referee reports. v1.0 — Shareable Edition (drafted from one real case in the original agent; refine it after this author's first real R&amp;R).</w:t>
      </w:r>
    </w:p>
    <w:p>
      <w:pPr>
        <w:pStyle w:val="Heading1"/>
        <w:pBdr>
          <w:bottom w:val="single" w:sz="8" w:space="4" w:color="44546A"/>
        </w:pBdr>
      </w:pPr>
      <w:r>
        <w:t>When this module fires</w:t>
      </w:r>
    </w:p>
    <w:p>
      <w:r>
        <w:rPr>
          <w:b w:val="0"/>
          <w:i w:val="0"/>
        </w:rPr>
        <w:t>Referee reports arrive on a submitted paper (R&amp;R, conditional accept, or a reject-with-reports worth answering at a new venue). The module produces two deliverables: the revised manuscript (built under the agent's normal change-log discipline) and the response letter. The response letter is a first-class document — referees judge the revision through it.</w:t>
      </w:r>
    </w:p>
    <w:p>
      <w:pPr>
        <w:pStyle w:val="Heading1"/>
        <w:pBdr>
          <w:bottom w:val="single" w:sz="8" w:space="4" w:color="44546A"/>
        </w:pBdr>
      </w:pPr>
      <w:r>
        <w:t>The process</w:t>
      </w:r>
    </w:p>
    <w:p>
      <w:r>
        <w:rPr>
          <w:b w:val="0"/>
          <w:i w:val="0"/>
        </w:rPr>
        <w:t>R1 — Inventory. Read the reports cold and build a Point Inventory: every distinct referee point gets a number, the referee's text (verbatim or tightly quoted), and its location in the manuscript. Completeness is the gate — run a count check against the raw reports; a missed point is a desk-reject risk. Points include praise (it calibrates what not to break) and editor instructions.</w:t>
      </w:r>
    </w:p>
    <w:p>
      <w:r>
        <w:rPr>
          <w:b w:val="0"/>
          <w:i w:val="0"/>
        </w:rPr>
        <w:t>R2 — Response plan. For each point, propose a disposition: accept-and-revise / accept-in-part / decline-with-reason / correct-a-misreading. Flag which points are load-bearing (touch the thesis or architecture) versus local. Estimate what each accepted revision costs (a sentence, a paragraph, a section, new analysis). AUTHOR GATE: the author approves the dispositions before any prose changes. Don't relitigate the author's calls later.</w:t>
      </w:r>
    </w:p>
    <w:p>
      <w:r>
        <w:rPr>
          <w:b w:val="0"/>
          <w:i w:val="0"/>
        </w:rPr>
        <w:t>R3 — Revise. Implement the accepted revisions with the agent's usual discipline: every change logged and tied to its point number; the author-round protocol applies if the author has touched the manuscript meanwhile; the deterministic self-check (isolation diff + change log) verifies nothing else moved. New or changed citations go through the citation-auditor. New or rewritten prose gets a voice walk before the author reads it.</w:t>
      </w:r>
    </w:p>
    <w:p>
      <w:r>
        <w:rPr>
          <w:b w:val="0"/>
          <w:i w:val="0"/>
        </w:rPr>
        <w:t>R4 — Response letter. Write the response letter in the author's register (defaults below): referee text in full, responses inline after each point. Every 'we have revised' names the location and QUOTES the added or changed text — an unanchored 'we address this' is a defect. Declines give a real reason.</w:t>
      </w:r>
    </w:p>
    <w:p>
      <w:r>
        <w:rPr>
          <w:b w:val="0"/>
          <w:i w:val="0"/>
        </w:rPr>
        <w:t>R5 — Final check. Verify every inventory point has a response; citation-auditor clean on new material; render both documents to PDF and eyeball; the author reads letter + revision before anything is submitted.</w:t>
      </w:r>
    </w:p>
    <w:p>
      <w:pPr>
        <w:pStyle w:val="Heading1"/>
        <w:pBdr>
          <w:bottom w:val="single" w:sz="8" w:space="4" w:color="44546A"/>
        </w:pBdr>
      </w:pPr>
      <w:r>
        <w:t>The response-letter register (defaults — calibrate to the author's own prior letters when they exist)</w:t>
      </w:r>
    </w:p>
    <w:p>
      <w:r>
        <w:rPr>
          <w:b w:val="0"/>
          <w:i w:val="0"/>
        </w:rPr>
        <w:t>Format. Open with brief thanks to the referees and editor, then reproduce each referee point with the response after it. Set responses off visibly — a distinct color is the common convention (and unlike paper drafts, a response letter is a place where colored text is expected; confirm the author's preference).</w:t>
      </w:r>
    </w:p>
    <w:p>
      <w:r>
        <w:rPr>
          <w:b w:val="0"/>
          <w:i w:val="0"/>
        </w:rPr>
        <w:t>Candor. Candid when wrong: name the error, give the fix, move on. No defensiveness, no over-apology.</w:t>
      </w:r>
    </w:p>
    <w:p>
      <w:r>
        <w:rPr>
          <w:b w:val="0"/>
          <w:i w:val="0"/>
        </w:rPr>
        <w:t>Quote the fix. Concessions are specific and quoted: 'I've added the following clarification above the table: "…"' — the referee sees exactly what changed without opening the manuscript.</w:t>
      </w:r>
    </w:p>
    <w:p>
      <w:r>
        <w:rPr>
          <w:b w:val="0"/>
          <w:i w:val="0"/>
        </w:rPr>
        <w:t>Declining. Declines are graceful and reasoned, usually on the paper's economy: the discussion would distract from the central argument; the suggestion belongs to a different paper. It is fine to note that a cut discussion existed in an earlier version. Never decline by ignoring.</w:t>
      </w:r>
    </w:p>
    <w:p>
      <w:r>
        <w:rPr>
          <w:b w:val="0"/>
          <w:i w:val="0"/>
        </w:rPr>
        <w:t>History. Be transparent about the paper's history where it bears on the reports (predecessor versions, title changes, what will be updated where).</w:t>
      </w:r>
    </w:p>
    <w:p>
      <w:r>
        <w:rPr>
          <w:b w:val="0"/>
          <w:i w:val="0"/>
        </w:rPr>
        <w:t>Spine. Keep the thesis's shape. Referees get real engagement, not capitulation: accept what improves the paper, bound each concession precisely, and answer the strongest version of a criticism rather than its wording.</w:t>
      </w:r>
    </w:p>
    <w:p>
      <w:pPr>
        <w:pStyle w:val="Heading1"/>
        <w:pBdr>
          <w:bottom w:val="single" w:sz="8" w:space="4" w:color="44546A"/>
        </w:pBdr>
      </w:pPr>
      <w:r>
        <w:t>What not to do</w:t>
      </w:r>
    </w:p>
    <w:p>
      <w:r>
        <w:rPr>
          <w:b w:val="0"/>
          <w:i w:val="0"/>
        </w:rPr>
        <w:t>No groveling or flattery beyond the standard thanks. No restating the whole paper. No response that just says 'addressed' without location + quoted text. No new claims that bypass the citation-auditor. No touching points the author declined at R2. No submitting anything the author hasn't read.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864" w:bottom="1152" w:left="86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6DC"/>
      </w:pBdr>
      <w:tabs>
        <w:tab w:pos="10512" w:val="right"/>
      </w:tabs>
    </w:pPr>
    <w:r>
      <w:rPr>
        <w:rFonts w:ascii="Calibri" w:hAnsi="Calibri"/>
        <w:b w:val="0"/>
        <w:i w:val="0"/>
        <w:color w:val="707070"/>
        <w:sz w:val="17"/>
      </w:rPr>
      <w:t>Deep Drafter   |   Revise &amp; Resubmit</w:t>
      <w:tab/>
    </w:r>
    <w:r>
      <w:rPr>
        <w:rFonts w:ascii="Calibri" w:hAnsi="Calibri"/>
        <w:b w:val="0"/>
        <w:i w:val="0"/>
        <w:color w:val="707070"/>
        <w:sz w:val="17"/>
      </w:rPr>
      <w:t xml:space="preserve">Page </w:t>
    </w:r>
    <w:r>
      <w:rPr>
        <w:rFonts w:ascii="Calibri" w:hAnsi="Calibri"/>
        <w:b w:val="0"/>
        <w:i w:val="0"/>
        <w:color w:val="707070"/>
        <w:sz w:val="17"/>
      </w:rPr>
      <w:fldChar w:fldCharType="begin"/>
    </w:r>
    <w:r>
      <w:rPr>
        <w:rFonts w:ascii="Calibri" w:hAnsi="Calibri"/>
        <w:b w:val="0"/>
        <w:i w:val="0"/>
        <w:color w:val="707070"/>
        <w:sz w:val="17"/>
      </w:rPr>
      <w:instrText xml:space="preserve"> PAGE </w:instrText>
    </w:r>
    <w:r>
      <w:rPr>
        <w:rFonts w:ascii="Calibri" w:hAnsi="Calibri"/>
        <w:b w:val="0"/>
        <w:i w:val="0"/>
        <w:color w:val="70707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C9D6DC"/>
      </w:pBdr>
    </w:pPr>
    <w:r>
      <w:rPr>
        <w:rFonts w:ascii="Calibri" w:hAnsi="Calibri"/>
        <w:b w:val="0"/>
        <w:i w:val="0"/>
        <w:color w:val="707070"/>
        <w:sz w:val="17"/>
      </w:rPr>
      <w:t>Deep Drafter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45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454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