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Analytic Philosophy Prose — Style Guide</w:t>
      </w:r>
    </w:p>
    <w:p>
      <w:pPr>
        <w:jc w:val="center"/>
      </w:pPr>
      <w:r>
        <w:rPr>
          <w:rFonts w:ascii="Calibri" w:hAnsi="Calibri"/>
          <w:i/>
          <w:color w:val="555555"/>
          <w:sz w:val="21"/>
        </w:rPr>
        <w:t>EXAMPLE field-register companion (analytic philosophy) — paired with the Philosophy Paper module, and a model for writing your own field's register companion. v1.0 — Shareable Edition.</w:t>
      </w:r>
    </w:p>
    <w:p>
      <w:pPr>
        <w:spacing w:before="80" w:after="160"/>
        <w:ind w:left="72" w:right="72"/>
        <w:shd w:val="clear" w:color="auto" w:fill="EFEFEF"/>
        <w:pBdr>
          <w:top w:val="single" w:sz="6" w:space="6" w:color="9A9A9A"/>
          <w:left w:val="single" w:sz="6" w:space="6" w:color="9A9A9A"/>
          <w:bottom w:val="single" w:sz="6" w:space="6" w:color="9A9A9A"/>
          <w:right w:val="single" w:sz="6" w:space="6" w:color="9A9A9A"/>
        </w:pBdr>
      </w:pPr>
      <w:r>
        <w:rPr>
          <w:b w:val="0"/>
          <w:i/>
          <w:color w:val="333333"/>
          <w:sz w:val="19"/>
        </w:rPr>
        <w:t>WHAT THIS IS. Some fields have register conventions beyond what a Style Module's mechanics capture — recurring formatting and argument-presentation moves that mark competent work in the field. This document is the analytic-philosophy example, distilled from a real author-correction round in the original agent. If your field has its own such conventions (proof environments, case-report structure, ethnographic voice), write the analogous companion at setup and name it from your Style Module.</w:t>
      </w:r>
    </w:p>
    <w:p>
      <w:pPr>
        <w:pStyle w:val="Heading1"/>
        <w:pBdr>
          <w:bottom w:val="single" w:sz="8" w:space="4" w:color="44546A"/>
        </w:pBdr>
      </w:pPr>
      <w:r>
        <w:t>Where this sits</w:t>
      </w:r>
    </w:p>
    <w:p>
      <w:r>
        <w:rPr>
          <w:b w:val="0"/>
          <w:i w:val="0"/>
        </w:rPr>
        <w:t>Three layers apply to a philosophy paper's prose, in order: the root 'Writing Guide — House Style' (house law), 'Prose Register — All Paper Types' (the general register: explain before use, no metaphors doing argument work, plain referents, concrete before abstract, roadmap and limits discipline, quoting the opposition), and then this guide. The Philosophy Paper style module governs mechanics (length, citations, structure).</w:t>
      </w:r>
    </w:p>
    <w:p>
      <w:pPr>
        <w:pStyle w:val="Heading1"/>
        <w:pBdr>
          <w:bottom w:val="single" w:sz="8" w:space="4" w:color="44546A"/>
        </w:pBdr>
      </w:pPr>
      <w:r>
        <w:t>1. Displays: principles, views, cases, premises</w:t>
      </w:r>
    </w:p>
    <w:p>
      <w:r>
        <w:rPr>
          <w:b w:val="0"/>
          <w:i w:val="0"/>
        </w:rPr>
        <w:t>This module's standing convention: the main views, principles, and examples under discussion get indented bold-label formatting. In gen_docx / gen_paper_docx this is the ('display', 'Label.', 'text') block — indented, bold label, body text.</w:t>
      </w:r>
    </w:p>
    <w:p>
      <w:pPr>
        <w:pStyle w:val="ListBullet"/>
      </w:pPr>
      <w:r>
        <w:rPr>
          <w:b w:val="0"/>
          <w:i w:val="0"/>
        </w:rPr>
        <w:t>Every named principle under discussion gets a display: the principle stated in one or two plain sentences under its bold name.</w:t>
      </w:r>
    </w:p>
    <w:p>
      <w:pPr>
        <w:pStyle w:val="ListBullet"/>
      </w:pPr>
      <w:r>
        <w:rPr>
          <w:b w:val="0"/>
          <w:i w:val="0"/>
        </w:rPr>
        <w:t>The paper's own view gets a display, stated IN FULL, early — the reader should be able to quote the thesis from the display alone.</w:t>
      </w:r>
    </w:p>
    <w:p>
      <w:pPr>
        <w:pStyle w:val="ListBullet"/>
      </w:pPr>
      <w:r>
        <w:rPr>
          <w:b w:val="0"/>
          <w:i w:val="0"/>
        </w:rPr>
        <w:t>Auxiliary principles the paper relies on get displays too, introduced only after their ingredients are explained (general guide: 'explain before use').</w:t>
      </w:r>
    </w:p>
    <w:p>
      <w:pPr>
        <w:pStyle w:val="Heading1"/>
        <w:pBdr>
          <w:bottom w:val="single" w:sz="8" w:space="4" w:color="44546A"/>
        </w:pBdr>
      </w:pPr>
      <w:r>
        <w:t>2. Cases as named vignettes</w:t>
      </w:r>
    </w:p>
    <w:p>
      <w:r>
        <w:rPr>
          <w:b w:val="0"/>
          <w:i w:val="0"/>
        </w:rPr>
        <w:t>Every named case is a displayed vignette: bold name, a 2–4 sentence self-contained story in the display, and the analysis in the following paragraphs — never interleaved with the story. The vignette contains everything the analysis will use: if the analysis needs a stipulation, it goes in the story, not in a later aside.</w:t>
      </w:r>
    </w:p>
    <w:p>
      <w:pPr>
        <w:pStyle w:val="Heading1"/>
        <w:pBdr>
          <w:bottom w:val="single" w:sz="8" w:space="4" w:color="44546A"/>
        </w:pBdr>
      </w:pPr>
      <w:r>
        <w:t>3. The central argument in premise form</w:t>
      </w:r>
    </w:p>
    <w:p>
      <w:r>
        <w:rPr>
          <w:b w:val="0"/>
          <w:i w:val="0"/>
        </w:rPr>
        <w:t>The paper's central argument appears once, as displayed premises (Premise One, Premise Two, …, Conclusion): simple premises that VISIBLY imply the conclusion — no enthymemes at the paper's load-bearing joint. The surrounding text says where each premise is defended ('Premise one was defended in sections 3 and 4. This section defends premise two.').</w:t>
      </w:r>
    </w:p>
    <w:p>
      <w:pPr>
        <w:pStyle w:val="Heading1"/>
        <w:pBdr>
          <w:bottom w:val="single" w:sz="8" w:space="4" w:color="44546A"/>
        </w:pBdr>
      </w:pPr>
      <w:r>
        <w:t>4. Philosophy-register notes</w:t>
      </w:r>
    </w:p>
    <w:p>
      <w:pPr>
        <w:pStyle w:val="ListBullet"/>
      </w:pPr>
      <w:r>
        <w:rPr>
          <w:b w:val="0"/>
          <w:i w:val="0"/>
        </w:rPr>
        <w:t>Solo papers use 'I' throughout ('I will argue', 'I defend'); no authorial 'we'. Coauthored papers use 'we'.</w:t>
      </w:r>
    </w:p>
    <w:p>
      <w:pPr>
        <w:pStyle w:val="ListBullet"/>
      </w:pPr>
      <w:r>
        <w:rPr>
          <w:b w:val="0"/>
          <w:i w:val="0"/>
        </w:rPr>
        <w:t>Objections: only the strongest few (3–4 for a journal paper). Steelman briefly in the objector's voice, then reply plainly.</w:t>
      </w:r>
    </w:p>
    <w:p>
      <w:pPr>
        <w:pStyle w:val="ListBullet"/>
      </w:pPr>
      <w:r>
        <w:rPr>
          <w:b w:val="0"/>
          <w:i w:val="0"/>
        </w:rPr>
        <w:t>Defending a view from inside several ethical or theoretical frameworks in turn is a standard and welcome structure — one framework per stretch, plainly labeled — because different readers want different routes to the conclusion.</w:t>
      </w:r>
    </w:p>
    <w:p>
      <w:pPr>
        <w:pStyle w:val="ListBullet"/>
      </w:pPr>
      <w:r>
        <w:rPr>
          <w:b w:val="0"/>
          <w:i w:val="0"/>
        </w:rPr>
        <w:t>Terminology credits and formal refinements go to footnotes — the general guide's demotion rule, with footnotes as philosophy's vehicle.</w:t>
      </w:r>
    </w:p>
    <w:p>
      <w:r>
        <w:rPr>
          <w:b w:val="0"/>
          <w:i w:val="0"/>
        </w:rPr>
        <w:t>Philosophy additions to the pre-return checklist (run the general guide's checklist first): every principle / the view / every case / the central argument displayed; each display self-contained; premises visibly valid with their defense locations named; objections capped and steelmanned; 'I' not 'we' when solo; asides in footnotes.</w:t>
      </w: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Field Register — Analytic Philosophy (example)</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