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4546A"/>
          <w:sz w:val="42"/>
        </w:rPr>
        <w:t>Law Review — Style Module</w:t>
      </w:r>
    </w:p>
    <w:p>
      <w:pPr>
        <w:jc w:val="center"/>
      </w:pPr>
      <w:r>
        <w:rPr>
          <w:rFonts w:ascii="Calibri" w:hAnsi="Calibri"/>
          <w:i/>
          <w:color w:val="555555"/>
          <w:sz w:val="21"/>
        </w:rPr>
        <w:t>Student-edited law-review article. v1.0 — Shareable Edition.</w:t>
      </w:r>
    </w:p>
    <w:p>
      <w:pPr>
        <w:spacing w:before="80" w:after="160"/>
        <w:ind w:left="72" w:right="72"/>
        <w:shd w:val="clear" w:color="auto" w:fill="EFEFEF"/>
        <w:pBdr>
          <w:top w:val="single" w:sz="6" w:space="6" w:color="9A9A9A"/>
          <w:left w:val="single" w:sz="6" w:space="6" w:color="9A9A9A"/>
          <w:bottom w:val="single" w:sz="6" w:space="6" w:color="9A9A9A"/>
          <w:right w:val="single" w:sz="6" w:space="6" w:color="9A9A9A"/>
        </w:pBdr>
      </w:pPr>
      <w:r>
        <w:rPr>
          <w:b w:val="0"/>
          <w:i/>
          <w:color w:val="333333"/>
          <w:sz w:val="19"/>
        </w:rPr>
        <w:t>This is the PER-TYPE layer. The root 'Writing Guide — House Style' is the shared core and applies IN FULL to every type (strong direct arguments; no editorializing; no verbal disputes; one move per sentence; cut filler; each argument in exactly one place). This module only adds what is specific to this paper type: length, citation/footnote practice, structure, and register. Defaults below are starting points — confirm them against the author's real venues at setup.</w:t>
      </w:r>
    </w:p>
    <w:p>
      <w:pPr>
        <w:pStyle w:val="Heading1"/>
        <w:pBdr>
          <w:bottom w:val="single" w:sz="8" w:space="4" w:color="44546A"/>
        </w:pBdr>
      </w:pPr>
      <w:r>
        <w:t>Target length</w:t>
      </w:r>
    </w:p>
    <w:p>
      <w:pPr>
        <w:pStyle w:val="ListBullet"/>
      </w:pPr>
      <w:r>
        <w:rPr>
          <w:b w:val="0"/>
          <w:i w:val="0"/>
        </w:rPr>
        <w:t>Default ~25,000 words INCLUDING footnotes (full articles often run 25,000–35,000; the footnotes are a large fraction of the total). Confirm the target review's preferred length in the Setup Contract.</w:t>
      </w:r>
    </w:p>
    <w:p>
      <w:pPr>
        <w:pStyle w:val="ListBullet"/>
      </w:pPr>
      <w:r>
        <w:rPr>
          <w:b w:val="0"/>
          <w:i w:val="0"/>
        </w:rPr>
        <w:t>A practical band from real runs: ~20,000 words including footnotes is the SUBMISSION FLOOR for top general law reviews; ~23,000–25,000 is the OPTIMUM. Drafting targets aim inside the band, not at the floor.</w:t>
      </w:r>
    </w:p>
    <w:p>
      <w:pPr>
        <w:pStyle w:val="ListBullet"/>
      </w:pPr>
      <w:r>
        <w:rPr>
          <w:b w:val="0"/>
          <w:i w:val="0"/>
        </w:rPr>
        <w:t>Length is real here, but it still follows from the argument and the apparatus — build the fat outline and let the footnotes carry weight; do not pad the body.</w:t>
      </w:r>
    </w:p>
    <w:p>
      <w:pPr>
        <w:pStyle w:val="Heading1"/>
        <w:pBdr>
          <w:bottom w:val="single" w:sz="8" w:space="4" w:color="44546A"/>
        </w:pBdr>
      </w:pPr>
      <w:r>
        <w:t>Citations &amp; footnotes</w:t>
      </w:r>
    </w:p>
    <w:p>
      <w:pPr>
        <w:pStyle w:val="ListBullet"/>
      </w:pPr>
      <w:r>
        <w:rPr>
          <w:b w:val="0"/>
          <w:i w:val="0"/>
        </w:rPr>
        <w:t>Bluebook footnotes — the defining feature. Nearly every sentence/proposition carries a footnote; string citations with signals (see, see also, cf., but see); short forms (id., supra, infra); pincites throughout.</w:t>
      </w:r>
    </w:p>
    <w:p>
      <w:pPr>
        <w:pStyle w:val="ListBullet"/>
      </w:pPr>
      <w:r>
        <w:rPr>
          <w:b w:val="0"/>
          <w:i w:val="0"/>
        </w:rPr>
        <w:t>Substantive footnotes are common and can be long (qualifications, counterarguments, parallel authority).</w:t>
      </w:r>
    </w:p>
    <w:p>
      <w:pPr>
        <w:pStyle w:val="ListBullet"/>
      </w:pPr>
      <w:r>
        <w:rPr>
          <w:b w:val="0"/>
          <w:i w:val="0"/>
        </w:rPr>
        <w:t>Draft with placeholder cites and (verify) tags; a heavy end-stage footnote-build pass (Stage 10) turns placeholders into full Bluebook footnotes. No in-text author-date.</w:t>
      </w:r>
    </w:p>
    <w:p>
      <w:pPr>
        <w:pStyle w:val="ListBullet"/>
      </w:pPr>
      <w:r>
        <w:rPr>
          <w:b w:val="0"/>
          <w:i w:val="0"/>
        </w:rPr>
        <w:t>The first footnote conventionally carries the author line/acknowledgments; the thesis is often previewed there too.</w:t>
      </w:r>
    </w:p>
    <w:p>
      <w:pPr>
        <w:pStyle w:val="Heading1"/>
        <w:pBdr>
          <w:bottom w:val="single" w:sz="8" w:space="4" w:color="44546A"/>
        </w:pBdr>
      </w:pPr>
      <w:r>
        <w:t>Structure conventions</w:t>
      </w:r>
    </w:p>
    <w:p>
      <w:pPr>
        <w:pStyle w:val="ListBullet"/>
      </w:pPr>
      <w:r>
        <w:rPr>
          <w:b w:val="0"/>
          <w:i w:val="0"/>
        </w:rPr>
        <w:t>Introduction that does heavy lifting: states the problem, the contribution/novelty, and an explicit ROADMAP of the Parts.</w:t>
      </w:r>
    </w:p>
    <w:p>
      <w:pPr>
        <w:pStyle w:val="ListBullet"/>
      </w:pPr>
      <w:r>
        <w:rPr>
          <w:b w:val="0"/>
          <w:i w:val="0"/>
        </w:rPr>
        <w:t>Roman-numeral Parts (I, II, III …), sections (A, B, C), subsections (1, 2, 3), sub-subsections (a, b, c). Typically a descriptive Part (the problem / the doctrine) before the normative Part (the proposal).</w:t>
      </w:r>
    </w:p>
    <w:p>
      <w:pPr>
        <w:pStyle w:val="ListBullet"/>
      </w:pPr>
      <w:r>
        <w:rPr>
          <w:b w:val="0"/>
          <w:i w:val="0"/>
        </w:rPr>
        <w:t>Conclusion. Named-argument labels reused across intro, Part headings, and conclusion.</w:t>
      </w:r>
    </w:p>
    <w:p>
      <w:pPr>
        <w:pStyle w:val="Heading1"/>
        <w:pBdr>
          <w:bottom w:val="single" w:sz="8" w:space="4" w:color="44546A"/>
        </w:pBdr>
      </w:pPr>
      <w:r>
        <w:t>Register &amp; voice (on top of the Writing Guide)</w:t>
      </w:r>
    </w:p>
    <w:p>
      <w:pPr>
        <w:pStyle w:val="ListBullet"/>
      </w:pPr>
      <w:r>
        <w:rPr>
          <w:b w:val="0"/>
          <w:i w:val="0"/>
        </w:rPr>
        <w:t>Law-review register: exposition-heavy and heavily sign-posted; authority-driven (the footnotes carry the proof); accessible to a generalist legal reader; the contribution stated explicitly.</w:t>
      </w:r>
    </w:p>
    <w:p>
      <w:pPr>
        <w:pStyle w:val="ListBullet"/>
      </w:pPr>
      <w:r>
        <w:rPr>
          <w:b w:val="0"/>
          <w:i w:val="0"/>
        </w:rPr>
        <w:t>The Writing Guide still governs the prose — direct arguments, no editorializing — but expect more scaffolding and roadmapping than a philosophy paper.</w:t>
      </w:r>
    </w:p>
    <w:p>
      <w:pPr>
        <w:pStyle w:val="Heading1"/>
        <w:pBdr>
          <w:bottom w:val="single" w:sz="8" w:space="4" w:color="44546A"/>
        </w:pBdr>
      </w:pPr>
      <w:r>
        <w:t>Model prose</w:t>
      </w:r>
    </w:p>
    <w:p>
      <w:pPr>
        <w:pStyle w:val="ListBullet"/>
      </w:pPr>
      <w:r>
        <w:rPr>
          <w:b w:val="0"/>
          <w:i w:val="0"/>
        </w:rPr>
        <w:t>A prior law-review article by the author (or, if none exists, a well-placed recent article in the target review, marked as a register model). Put it in Model Prose/ and read for structure (Parts, roadmap, footnote density) and voice.</w:t>
      </w:r>
    </w:p>
    <w:p>
      <w:pPr>
        <w:pStyle w:val="Heading1"/>
        <w:pBdr>
          <w:bottom w:val="single" w:sz="8" w:space="4" w:color="44546A"/>
        </w:pBdr>
      </w:pPr>
      <w:r>
        <w:t>Referee lenses (Stage 8 — spawned BLIND)</w:t>
      </w:r>
    </w:p>
    <w:p>
      <w:pPr>
        <w:pStyle w:val="ListBullet"/>
      </w:pPr>
      <w:r>
        <w:rPr>
          <w:b w:val="0"/>
          <w:i w:val="0"/>
        </w:rPr>
        <w:t>The fixed trio: one DOCTRINAL reader, one THEORY/NORMATIVE reader, one PRACTICAL/INSTITUTIONAL reader. Student-edited selection also rewards a crisp novelty claim — the case-for-acceptance reader doubles as the articles-editor check.</w:t>
      </w:r>
    </w:p>
    <w:p>
      <w:pPr>
        <w:pStyle w:val="Heading1"/>
        <w:pBdr>
          <w:bottom w:val="single" w:sz="8" w:space="4" w:color="44546A"/>
        </w:pBdr>
      </w:pPr>
      <w:r>
        <w:t>Special passes / notes</w:t>
      </w:r>
    </w:p>
    <w:p>
      <w:pPr>
        <w:pStyle w:val="ListBullet"/>
      </w:pPr>
      <w:r>
        <w:rPr>
          <w:b w:val="0"/>
          <w:i w:val="0"/>
        </w:rPr>
        <w:t>The footnote-build pass is the biggest type-specific effort — budget for it; the citation-auditor verifies pincites against real sources.</w:t>
      </w:r>
    </w:p>
    <w:p>
      <w:pPr>
        <w:pStyle w:val="ListBullet"/>
      </w:pPr>
      <w:r>
        <w:rPr>
          <w:b w:val="0"/>
          <w:i w:val="0"/>
        </w:rPr>
        <w:t>Student-edited: claims of novelty and a crisp contribution statement matter; the referee panel should include a doctrinal reader.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864" w:bottom="1152" w:left="86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6DC"/>
      </w:pBdr>
      <w:tabs>
        <w:tab w:pos="10512" w:val="right"/>
      </w:tabs>
    </w:pPr>
    <w:r>
      <w:rPr>
        <w:rFonts w:ascii="Calibri" w:hAnsi="Calibri"/>
        <w:b w:val="0"/>
        <w:i w:val="0"/>
        <w:color w:val="707070"/>
        <w:sz w:val="17"/>
      </w:rPr>
      <w:t>Deep Drafter   |   Style Module — Law Review</w:t>
      <w:tab/>
    </w:r>
    <w:r>
      <w:rPr>
        <w:rFonts w:ascii="Calibri" w:hAnsi="Calibri"/>
        <w:b w:val="0"/>
        <w:i w:val="0"/>
        <w:color w:val="707070"/>
        <w:sz w:val="17"/>
      </w:rPr>
      <w:t xml:space="preserve">Page </w:t>
    </w:r>
    <w:r>
      <w:rPr>
        <w:rFonts w:ascii="Calibri" w:hAnsi="Calibri"/>
        <w:b w:val="0"/>
        <w:i w:val="0"/>
        <w:color w:val="707070"/>
        <w:sz w:val="17"/>
      </w:rPr>
      <w:fldChar w:fldCharType="begin"/>
    </w:r>
    <w:r>
      <w:rPr>
        <w:rFonts w:ascii="Calibri" w:hAnsi="Calibri"/>
        <w:b w:val="0"/>
        <w:i w:val="0"/>
        <w:color w:val="707070"/>
        <w:sz w:val="17"/>
      </w:rPr>
      <w:instrText xml:space="preserve"> PAGE </w:instrText>
    </w:r>
    <w:r>
      <w:rPr>
        <w:rFonts w:ascii="Calibri" w:hAnsi="Calibri"/>
        <w:b w:val="0"/>
        <w:i w:val="0"/>
        <w:color w:val="70707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C9D6DC"/>
      </w:pBdr>
    </w:pPr>
    <w:r>
      <w:rPr>
        <w:rFonts w:ascii="Calibri" w:hAnsi="Calibri"/>
        <w:b w:val="0"/>
        <w:i w:val="0"/>
        <w:color w:val="707070"/>
        <w:sz w:val="17"/>
      </w:rPr>
      <w:t>Deep Drafter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45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454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