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4546A"/>
          <w:sz w:val="42"/>
        </w:rPr>
        <w:t>SETUP — Personalize the Agent</w:t>
      </w:r>
    </w:p>
    <w:p>
      <w:pPr>
        <w:jc w:val="center"/>
      </w:pPr>
      <w:r>
        <w:rPr>
          <w:rFonts w:ascii="Calibri" w:hAnsi="Calibri"/>
          <w:i/>
          <w:color w:val="555555"/>
          <w:sz w:val="21"/>
        </w:rPr>
        <w:t>The first-run procedure: calibrate the agent to this author before any paper is drafted. v1.0 — Shareable Edition, July 2026. Claude runs this; the author just answers questions and supplies PDFs.</w:t>
      </w:r>
    </w:p>
    <w:p>
      <w:pPr>
        <w:spacing w:before="80" w:after="160"/>
        <w:ind w:left="72" w:right="72"/>
        <w:shd w:val="clear" w:color="auto" w:fill="EFEFEF"/>
        <w:pBdr>
          <w:top w:val="single" w:sz="6" w:space="6" w:color="9A9A9A"/>
          <w:left w:val="single" w:sz="6" w:space="6" w:color="9A9A9A"/>
          <w:bottom w:val="single" w:sz="6" w:space="6" w:color="9A9A9A"/>
          <w:right w:val="single" w:sz="6" w:space="6" w:color="9A9A9A"/>
        </w:pBdr>
      </w:pPr>
      <w:r>
        <w:rPr>
          <w:b w:val="0"/>
          <w:i/>
          <w:color w:val="333333"/>
          <w:sz w:val="19"/>
        </w:rPr>
        <w:t>TRIGGER — Claude: run this procedure whenever the Context doc still contains [TODO] markers or the Model Prose Library is empty, before starting any paper. It takes one conversation. Record progress as you go; each personalized document is a new version (the versioning rules apply from the first edit).</w:t>
      </w:r>
    </w:p>
    <w:p>
      <w:pPr>
        <w:pStyle w:val="Heading1"/>
        <w:pBdr>
          <w:bottom w:val="single" w:sz="8" w:space="4" w:color="44546A"/>
        </w:pBdr>
      </w:pPr>
      <w:r>
        <w:t>Why this step exists</w:t>
      </w:r>
    </w:p>
    <w:p>
      <w:r>
        <w:rPr>
          <w:b w:val="0"/>
          <w:i w:val="0"/>
        </w:rPr>
        <w:t>The agent's biggest quality lever is not the pipeline — it is calibration. A draft succeeds when every sentence reads as the author's, when the structure matches the field's conventions, and when the review agents test against the right venue. All three require knowing the author. The shipped documents are strong field-neutral defaults with clearly marked slots; this procedure fills the slots.</w:t>
      </w:r>
    </w:p>
    <w:p>
      <w:pPr>
        <w:pStyle w:val="Heading1"/>
        <w:pBdr>
          <w:bottom w:val="single" w:sz="8" w:space="4" w:color="44546A"/>
        </w:pBdr>
      </w:pPr>
      <w:r>
        <w:t>Step 1 — Toolchain check (Claude does this silently)</w:t>
      </w:r>
    </w:p>
    <w:p>
      <w:pPr>
        <w:pStyle w:val="ListBullet"/>
      </w:pPr>
      <w:r>
        <w:rPr>
          <w:b w:val="0"/>
          <w:i w:val="0"/>
        </w:rPr>
        <w:t>Confirm python3 and the python-docx package are available (every builder and reader script needs them). If python-docx is missing, install it (pip3 install python-docx) or ask the author's permission to, per the machine's norms.</w:t>
      </w:r>
    </w:p>
    <w:p>
      <w:pPr>
        <w:pStyle w:val="ListBullet"/>
      </w:pPr>
      <w:r>
        <w:rPr>
          <w:b w:val="0"/>
          <w:i w:val="0"/>
        </w:rPr>
        <w:t>Optional but recommended: a .docx→PDF renderer (LibreOffice headless, or Word itself) so built documents can be rendered and eyeballed before handoff, and pandoc for text-diffing Word files in the author-round protocol (a plain-text extraction fallback exists in read_docx.py, but pandoc diffs are cleaner).</w:t>
      </w:r>
    </w:p>
    <w:p>
      <w:pPr>
        <w:pStyle w:val="ListBullet"/>
      </w:pPr>
      <w:r>
        <w:rPr>
          <w:b w:val="0"/>
          <w:i w:val="0"/>
        </w:rPr>
        <w:t>Run: python3 "Behind the scenes (Claude)/Build scripts/sync_playbooks.py" — confirms the mirror system works and gives you fast text access to every playbook doc.</w:t>
      </w:r>
    </w:p>
    <w:p>
      <w:pPr>
        <w:pStyle w:val="Heading1"/>
        <w:pBdr>
          <w:bottom w:val="single" w:sz="8" w:space="4" w:color="44546A"/>
        </w:pBdr>
      </w:pPr>
      <w:r>
        <w:t>Step 2 — The interview (bundle the questions; don't drip them)</w:t>
      </w:r>
    </w:p>
    <w:p>
      <w:r>
        <w:rPr>
          <w:b w:val="0"/>
          <w:i w:val="0"/>
        </w:rPr>
        <w:t>Ask the author, in one or two bundled rounds, and record every answer in the Context doc (replacing its [TODO] markers):</w:t>
      </w:r>
    </w:p>
    <w:p>
      <w:pPr>
        <w:pStyle w:val="ListNumber"/>
      </w:pPr>
      <w:r>
        <w:rPr>
          <w:b/>
          <w:i w:val="0"/>
        </w:rPr>
        <w:t>Who you are.</w:t>
      </w:r>
      <w:r>
        <w:rPr>
          <w:b w:val="0"/>
          <w:i w:val="0"/>
        </w:rPr>
        <w:t xml:space="preserve"> Name, field and subfield, affiliation, and anything a venue would list (books, notable prior work). Used for author lines and for checking prior-work consistency in Stage 1.</w:t>
      </w:r>
    </w:p>
    <w:p>
      <w:pPr>
        <w:pStyle w:val="ListNumber"/>
      </w:pPr>
      <w:r>
        <w:rPr>
          <w:b/>
          <w:i w:val="0"/>
        </w:rPr>
        <w:t>What you write.</w:t>
      </w:r>
      <w:r>
        <w:rPr>
          <w:b w:val="0"/>
          <w:i w:val="0"/>
        </w:rPr>
        <w:t xml:space="preserve"> The paper types you actually produce (journal article, law review, monograph, empirical article, policy report, book chapter, …). For each: does a shipped Style Module fit, or should one be built? (Step 5.)</w:t>
      </w:r>
    </w:p>
    <w:p>
      <w:pPr>
        <w:pStyle w:val="ListNumber"/>
      </w:pPr>
      <w:r>
        <w:rPr>
          <w:b/>
          <w:i w:val="0"/>
        </w:rPr>
        <w:t>Where you publish.</w:t>
      </w:r>
      <w:r>
        <w:rPr>
          <w:b w:val="0"/>
          <w:i w:val="0"/>
        </w:rPr>
        <w:t xml:space="preserve"> Typical venues per type, with any known length limits and house registers.</w:t>
      </w:r>
    </w:p>
    <w:p>
      <w:pPr>
        <w:pStyle w:val="ListNumber"/>
      </w:pPr>
      <w:r>
        <w:rPr>
          <w:b/>
          <w:i w:val="0"/>
        </w:rPr>
        <w:t>Who you write with.</w:t>
      </w:r>
      <w:r>
        <w:rPr>
          <w:b w:val="0"/>
          <w:i w:val="0"/>
        </w:rPr>
        <w:t xml:space="preserve"> Frequent coauthors (name, field); the author-order convention in your field (alphabetical? contribution? seniority?).</w:t>
      </w:r>
    </w:p>
    <w:p>
      <w:pPr>
        <w:pStyle w:val="ListNumber"/>
      </w:pPr>
      <w:r>
        <w:rPr>
          <w:b/>
          <w:i w:val="0"/>
        </w:rPr>
        <w:t>Standing content preferences.</w:t>
      </w:r>
      <w:r>
        <w:rPr>
          <w:b w:val="0"/>
          <w:i w:val="0"/>
        </w:rPr>
        <w:t xml:space="preserve"> Substantive commitments the agent should respect across papers (positions you build on; framings you avoid); how you like objections handled; anything you never want in a draft.</w:t>
      </w:r>
    </w:p>
    <w:p>
      <w:pPr>
        <w:pStyle w:val="ListNumber"/>
      </w:pPr>
      <w:r>
        <w:rPr>
          <w:b/>
          <w:i w:val="0"/>
        </w:rPr>
        <w:t>Mechanics.</w:t>
      </w:r>
      <w:r>
        <w:rPr>
          <w:b w:val="0"/>
          <w:i w:val="0"/>
        </w:rPr>
        <w:t xml:space="preserve"> Your bracket-comment initials (e.g. '[ab: …]'); the marking color for Claude's reviewable additions in author rounds (default blue); paper-draft appearance (default: Arial, black text only, real Word footnotes, page numbers in the footer, no heading rules) — confirm or adjust; any hard formatting rules (e.g. some authors ban prose dashes outright — the shipped default treats dash-chains as an AI tell and removes them in the voice pass).</w:t>
      </w:r>
    </w:p>
    <w:p>
      <w:pPr>
        <w:pStyle w:val="ListNumber"/>
      </w:pPr>
      <w:r>
        <w:rPr>
          <w:b/>
          <w:i w:val="0"/>
        </w:rPr>
        <w:t>AI-use disclosure stance.</w:t>
      </w:r>
      <w:r>
        <w:rPr>
          <w:b w:val="0"/>
          <w:i w:val="0"/>
        </w:rPr>
        <w:t xml:space="preserve"> What the author wants disclosed, where, and in what words — knowing that venue policies differ and change; re-confirm per venue at each paper's Intake. The agent never submits anything the author hasn't settled.</w:t>
      </w:r>
    </w:p>
    <w:p>
      <w:pPr>
        <w:pStyle w:val="ListNumber"/>
      </w:pPr>
      <w:r>
        <w:rPr>
          <w:b/>
          <w:i w:val="0"/>
        </w:rPr>
        <w:t>Autonomy default.</w:t>
      </w:r>
      <w:r>
        <w:rPr>
          <w:b w:val="0"/>
          <w:i w:val="0"/>
        </w:rPr>
        <w:t xml:space="preserve"> The standard gate set (Argument Sketch, Plan, Paragraph Outline, voiced draft), 'run straight through', or 'every gate' — per paper this can always be overridden.</w:t>
      </w:r>
    </w:p>
    <w:p>
      <w:pPr>
        <w:pStyle w:val="Heading1"/>
        <w:pBdr>
          <w:bottom w:val="single" w:sz="8" w:space="4" w:color="44546A"/>
        </w:pBdr>
      </w:pPr>
      <w:r>
        <w:t>Step 3 — Collect the model prose (3–6 of the author's own papers)</w:t>
      </w:r>
    </w:p>
    <w:p>
      <w:pPr>
        <w:pStyle w:val="ListBullet"/>
      </w:pPr>
      <w:r>
        <w:rPr>
          <w:b w:val="0"/>
          <w:i w:val="0"/>
        </w:rPr>
        <w:t>Ask for the author's best or most representative papers as PDFs — ideally spanning the types they write (e.g. one tight journal article, one long-form piece, one coauthored paper). Published versions preferred; final drafts fine.</w:t>
      </w:r>
    </w:p>
    <w:p>
      <w:pPr>
        <w:pStyle w:val="ListBullet"/>
      </w:pPr>
      <w:r>
        <w:rPr>
          <w:b w:val="0"/>
          <w:i w:val="0"/>
        </w:rPr>
        <w:t>File each in General Guide to Academic Writing/Model Prose Library/ with a clean name; extract text alongside (a ' — extracted text.txt' file) so agents can read it fast.</w:t>
      </w:r>
    </w:p>
    <w:p>
      <w:pPr>
        <w:pStyle w:val="ListBullet"/>
      </w:pPr>
      <w:r>
        <w:rPr>
          <w:b w:val="0"/>
          <w:i w:val="0"/>
        </w:rPr>
        <w:t>Add a catalog row per paper (the Catalog doc in that folder): type, length, venue, and — the important column — WHAT to imitate in it, named precisely (not 'good prose'). Write those notes AFTER Step 4's analysis, when you know what each paper exemplifies.</w:t>
      </w:r>
    </w:p>
    <w:p>
      <w:pPr>
        <w:pStyle w:val="ListBullet"/>
      </w:pPr>
      <w:r>
        <w:rPr>
          <w:b w:val="0"/>
          <w:i w:val="0"/>
        </w:rPr>
        <w:t>If the author is early-career with few papers, use what exists and add 1–2 admired papers by OTHERS in the field, clearly marked as register models rather than the author's own voice; the Voice Profile then leans on the author's real prose for sentence patterns and on the register models for structure.</w:t>
      </w:r>
    </w:p>
    <w:p>
      <w:pPr>
        <w:pStyle w:val="Heading1"/>
        <w:pBdr>
          <w:bottom w:val="single" w:sz="8" w:space="4" w:color="44546A"/>
        </w:pBdr>
      </w:pPr>
      <w:r>
        <w:t>Step 4 — Mine the papers; build the Voice Profile</w:t>
      </w:r>
    </w:p>
    <w:p>
      <w:r>
        <w:rPr>
          <w:b w:val="0"/>
          <w:i w:val="0"/>
        </w:rPr>
        <w:t>Read the collected papers IN FULL, then rebuild 'General Guide to Academic Writing/Voice Profile — Sentence &amp; Paragraph Craft.docx' from its template: for each of its ten pattern categories, state the author's actual pattern and paste 1–2 VERBATIM example sentences from their papers. Then build the signpost whitelist (transition and framing phrases the author genuinely uses — with the rule that whatever appears in the model prose is never flagged as an AI tell) and record the author's personal rules (dash policy, banned words, fragment tolerance, hedging style). Show the finished profile to the author and adjust on their feedback — this document is the single most-consulted calibration asset in the pipeline.</w:t>
      </w:r>
    </w:p>
    <w:p>
      <w:pPr>
        <w:pStyle w:val="Heading1"/>
        <w:pBdr>
          <w:bottom w:val="single" w:sz="8" w:space="4" w:color="44546A"/>
        </w:pBdr>
      </w:pPr>
      <w:r>
        <w:t>Step 5 — Confirm or build the Style Modules</w:t>
      </w:r>
    </w:p>
    <w:p>
      <w:pPr>
        <w:pStyle w:val="ListBullet"/>
      </w:pPr>
      <w:r>
        <w:rPr>
          <w:b w:val="0"/>
          <w:i w:val="0"/>
        </w:rPr>
        <w:t>For each paper type from Step 2: if a shipped module fits (Philosophy Paper, Law Review, Cambridge Element, Empirical Social Science Paper), read it WITH the author's answers in hand and adjust its defaults (length, citation practice, venue register) to their field's reality.</w:t>
      </w:r>
    </w:p>
    <w:p>
      <w:pPr>
        <w:pStyle w:val="ListBullet"/>
      </w:pPr>
      <w:r>
        <w:rPr>
          <w:b w:val="0"/>
          <w:i w:val="0"/>
        </w:rPr>
        <w:t>For a type with no module, copy '_Template (new paper type).docx', fill every section with the author (or from analysis of venue exemplars), and add the type to TYPE_PRESETS in new_paper.py so the scaffolder recognizes it.</w:t>
      </w:r>
    </w:p>
    <w:p>
      <w:pPr>
        <w:pStyle w:val="ListBullet"/>
      </w:pPr>
      <w:r>
        <w:rPr>
          <w:b w:val="0"/>
          <w:i w:val="0"/>
        </w:rPr>
        <w:t>If the field has a distinctive register (the way analytic philosophy has displays and premise-form arguments — see the shipped example 'Analytic Philosophy Prose — Style Guide'), write a short field-register companion and name it from the module.</w:t>
      </w:r>
    </w:p>
    <w:p>
      <w:pPr>
        <w:pStyle w:val="Heading1"/>
        <w:pBdr>
          <w:bottom w:val="single" w:sz="8" w:space="4" w:color="44546A"/>
        </w:pBdr>
      </w:pPr>
      <w:r>
        <w:t>Step 6 — Personalize the Writing Guide</w:t>
      </w:r>
    </w:p>
    <w:p>
      <w:r>
        <w:rPr>
          <w:b w:val="0"/>
          <w:i w:val="0"/>
        </w:rPr>
        <w:t>Walk the author through 'Writing Guide — House Style' section by section: keep, adjust, or replace each default. The shipped guide encodes a strongly argumentative house style (direct arguments, no editorializing, numbered argument structure); authors in narrative or empirical traditions will want different section-structure defaults — the sentence-level discipline usually survives across fields. Save as a new version.</w:t>
      </w:r>
    </w:p>
    <w:p>
      <w:pPr>
        <w:pStyle w:val="Heading1"/>
        <w:pBdr>
          <w:bottom w:val="single" w:sz="8" w:space="4" w:color="44546A"/>
        </w:pBdr>
      </w:pPr>
      <w:r>
        <w:t>Step 7 — Close out</w:t>
      </w:r>
    </w:p>
    <w:p>
      <w:pPr>
        <w:pStyle w:val="ListBullet"/>
      </w:pPr>
      <w:r>
        <w:rPr>
          <w:b w:val="0"/>
          <w:i w:val="0"/>
        </w:rPr>
        <w:t>Confirm the Context doc has no [TODO] left in Part 1; the Model Prose Library has its catalog rows; the Voice Profile is author-approved; the needed Style Modules exist.</w:t>
      </w:r>
    </w:p>
    <w:p>
      <w:pPr>
        <w:pStyle w:val="ListBullet"/>
      </w:pPr>
      <w:r>
        <w:rPr>
          <w:b w:val="0"/>
          <w:i w:val="0"/>
        </w:rPr>
        <w:t>Offer a shakedown run: a short piece (a 1,500-word commentary or review) through the full pipeline is the fastest way to surface calibration misses cheaply before a real paper.</w:t>
      </w:r>
    </w:p>
    <w:p>
      <w:pPr>
        <w:pStyle w:val="ListBullet"/>
      </w:pPr>
      <w:r>
        <w:rPr>
          <w:b w:val="0"/>
          <w:i w:val="0"/>
        </w:rPr>
        <w:t>Refresh the mirrors (sync_playbooks.py). From here, CLAUDE.md's normal orientation applies.</w:t>
      </w:r>
    </w:p>
    <w:sectPr w:rsidR="00FC693F" w:rsidRPr="0006063C" w:rsidSect="00034616">
      <w:headerReference w:type="default" r:id="rId9"/>
      <w:footerReference w:type="default" r:id="rId10"/>
      <w:pgSz w:w="12240" w:h="15840"/>
      <w:pgMar w:top="1152" w:right="864" w:bottom="1152" w:left="86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6DC"/>
      </w:pBdr>
      <w:tabs>
        <w:tab w:pos="10512" w:val="right"/>
      </w:tabs>
    </w:pPr>
    <w:r>
      <w:rPr>
        <w:rFonts w:ascii="Calibri" w:hAnsi="Calibri"/>
        <w:b w:val="0"/>
        <w:i w:val="0"/>
        <w:color w:val="707070"/>
        <w:sz w:val="17"/>
      </w:rPr>
      <w:t>Deep Drafter   |   Setup &amp; Personalization</w:t>
      <w:tab/>
    </w:r>
    <w:r>
      <w:rPr>
        <w:rFonts w:ascii="Calibri" w:hAnsi="Calibri"/>
        <w:b w:val="0"/>
        <w:i w:val="0"/>
        <w:color w:val="707070"/>
        <w:sz w:val="17"/>
      </w:rPr>
      <w:t xml:space="preserve">Page </w:t>
    </w:r>
    <w:r>
      <w:rPr>
        <w:rFonts w:ascii="Calibri" w:hAnsi="Calibri"/>
        <w:b w:val="0"/>
        <w:i w:val="0"/>
        <w:color w:val="707070"/>
        <w:sz w:val="17"/>
      </w:rPr>
      <w:fldChar w:fldCharType="begin"/>
    </w:r>
    <w:r>
      <w:rPr>
        <w:rFonts w:ascii="Calibri" w:hAnsi="Calibri"/>
        <w:b w:val="0"/>
        <w:i w:val="0"/>
        <w:color w:val="707070"/>
        <w:sz w:val="17"/>
      </w:rPr>
      <w:instrText xml:space="preserve"> PAGE </w:instrText>
    </w:r>
    <w:r>
      <w:rPr>
        <w:rFonts w:ascii="Calibri" w:hAnsi="Calibri"/>
        <w:b w:val="0"/>
        <w:i w:val="0"/>
        <w:color w:val="7070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Bdr>
        <w:bottom w:val="single" w:sz="4" w:space="4" w:color="C9D6DC"/>
      </w:pBdr>
    </w:pPr>
    <w:r>
      <w:rPr>
        <w:rFonts w:ascii="Calibri" w:hAnsi="Calibri"/>
        <w:b w:val="0"/>
        <w:i w:val="0"/>
        <w:color w:val="707070"/>
        <w:sz w:val="17"/>
      </w:rPr>
      <w:t>Deep Drafter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4546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