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Potential — Revisione testi RUSSO</w:t>
      </w:r>
    </w:p>
    <w:p>
      <w:r>
        <w:rPr>
          <w:i/>
          <w:color w:val="808080"/>
        </w:rPr>
        <w:t>Документ для проверки русской версии сайта  ·  13/07/2026</w:t>
      </w:r>
    </w:p>
    <w:p>
      <w:pPr>
        <w:pStyle w:val="Heading2"/>
      </w:pPr>
      <w:r>
        <w:t>Istruzioni / Инструкция</w:t>
      </w:r>
    </w:p>
    <w:p>
      <w:pPr>
        <w:pStyle w:val="ListBullet"/>
      </w:pPr>
      <w:r>
        <w:rPr>
          <w:b/>
          <w:color w:val="C71617"/>
        </w:rPr>
        <w:t xml:space="preserve">IT  </w:t>
      </w:r>
      <w:r>
        <w:t>Modifica SOLO la colonna «Русский». La colonna inglese è solo un riferimento per capire dove appare il testo sul sito. NON modificare la colonna «ID».</w:t>
      </w:r>
    </w:p>
    <w:p>
      <w:pPr>
        <w:pStyle w:val="ListBullet"/>
      </w:pPr>
      <w:r>
        <w:rPr>
          <w:b/>
          <w:color w:val="C71617"/>
        </w:rPr>
        <w:t xml:space="preserve">RU  </w:t>
      </w:r>
      <w:r>
        <w:t>Редактируйте ТОЛЬКО столбец «Русский». Английский столбец — это ориентир, где текст находится на сайте. НЕ меняйте столбец «ID».</w:t>
      </w:r>
    </w:p>
    <w:p>
      <w:pPr>
        <w:pStyle w:val="ListBullet"/>
      </w:pPr>
      <w:r>
        <w:rPr>
          <w:b/>
          <w:color w:val="C71617"/>
        </w:rPr>
        <w:t xml:space="preserve">IT  </w:t>
      </w:r>
      <w:r>
        <w:t>Se vedi simboli come &lt;br&gt; oppure &lt;em&gt;…&lt;/em&gt;: sono a-capo o parole evidenziate. Lasciali dove sono, cambia solo le parole.</w:t>
      </w:r>
    </w:p>
    <w:p>
      <w:pPr>
        <w:pStyle w:val="ListBullet"/>
      </w:pPr>
      <w:r>
        <w:rPr>
          <w:b/>
          <w:color w:val="C71617"/>
        </w:rPr>
        <w:t xml:space="preserve">RU  </w:t>
      </w:r>
      <w:r>
        <w:t>Символы вроде &lt;br&gt; или &lt;em&gt;…&lt;/em&gt; — это переносы строк или выделения. Оставьте их на месте, меняйте только слова.</w:t>
      </w:r>
    </w:p>
    <w:p>
      <w:r>
        <w:rPr>
          <w:i/>
          <w:color w:val="808080"/>
          <w:sz w:val="18"/>
        </w:rPr>
        <w:t>Nota: i grandi claim animati dell'header ("Every deadline. Delivered." ecc.) sono IMMAGINI, solo in inglese, e NON rientrano in questa revisione. Anche la pagina Privacy Policy resta solo in inglese.</w:t>
      </w:r>
    </w:p>
    <w:p>
      <w:pPr>
        <w:pStyle w:val="Heading1"/>
      </w:pPr>
      <w:r>
        <w:t>Elementi ricorrenti (scroll, footer)</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scroll-down</w:t>
            </w:r>
          </w:p>
        </w:tc>
        <w:tc>
          <w:tcPr>
            <w:tcW w:type="dxa" w:w="4176"/>
          </w:tcPr>
          <w:p>
            <w:r>
              <w:t>Scroll Down</w:t>
            </w:r>
          </w:p>
        </w:tc>
        <w:tc>
          <w:tcPr>
            <w:tcW w:type="dxa" w:w="4176"/>
          </w:tcPr>
          <w:p>
            <w:r>
              <w:rPr>
                <w:sz w:val="22"/>
              </w:rPr>
              <w:t>Прокрутите вниз</w:t>
            </w:r>
          </w:p>
        </w:tc>
      </w:tr>
      <w:tr>
        <w:tc>
          <w:tcPr>
            <w:tcW w:type="dxa" w:w="1296"/>
          </w:tcPr>
          <w:p>
            <w:r>
              <w:rPr>
                <w:color w:val="999999"/>
                <w:sz w:val="16"/>
              </w:rPr>
              <w:t>footer-copy</w:t>
            </w:r>
          </w:p>
        </w:tc>
        <w:tc>
          <w:tcPr>
            <w:tcW w:type="dxa" w:w="4176"/>
          </w:tcPr>
          <w:p>
            <w:r>
              <w:t>© 2026 Potential. All rights reserved.</w:t>
            </w:r>
          </w:p>
        </w:tc>
        <w:tc>
          <w:tcPr>
            <w:tcW w:type="dxa" w:w="4176"/>
          </w:tcPr>
          <w:p>
            <w:r>
              <w:rPr>
                <w:sz w:val="22"/>
              </w:rPr>
              <w:t>© 2026 Potential. Все права защищены.</w:t>
            </w:r>
          </w:p>
        </w:tc>
      </w:tr>
      <w:tr>
        <w:tc>
          <w:tcPr>
            <w:tcW w:type="dxa" w:w="1296"/>
          </w:tcPr>
          <w:p>
            <w:r>
              <w:rPr>
                <w:color w:val="999999"/>
                <w:sz w:val="16"/>
              </w:rPr>
              <w:t>footer-privacy</w:t>
            </w:r>
          </w:p>
        </w:tc>
        <w:tc>
          <w:tcPr>
            <w:tcW w:type="dxa" w:w="4176"/>
          </w:tcPr>
          <w:p>
            <w:r>
              <w:t>Privacy Policy</w:t>
            </w:r>
          </w:p>
        </w:tc>
        <w:tc>
          <w:tcPr>
            <w:tcW w:type="dxa" w:w="4176"/>
          </w:tcPr>
          <w:p>
            <w:r>
              <w:rPr>
                <w:sz w:val="22"/>
              </w:rPr>
              <w:t>Политика конфиденциальности</w:t>
            </w:r>
          </w:p>
        </w:tc>
      </w:tr>
    </w:tbl>
    <w:p>
      <w:pPr>
        <w:pStyle w:val="Heading1"/>
      </w:pPr>
      <w:r>
        <w:t>1 · Frase d'apertura</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intro-hl-1</w:t>
            </w:r>
          </w:p>
        </w:tc>
        <w:tc>
          <w:tcPr>
            <w:tcW w:type="dxa" w:w="4176"/>
          </w:tcPr>
          <w:p>
            <w:r>
              <w:t>One single point</w:t>
            </w:r>
          </w:p>
        </w:tc>
        <w:tc>
          <w:tcPr>
            <w:tcW w:type="dxa" w:w="4176"/>
          </w:tcPr>
          <w:p>
            <w:r>
              <w:rPr>
                <w:sz w:val="22"/>
              </w:rPr>
              <w:t>Единая точка</w:t>
            </w:r>
          </w:p>
        </w:tc>
      </w:tr>
      <w:tr>
        <w:tc>
          <w:tcPr>
            <w:tcW w:type="dxa" w:w="1296"/>
          </w:tcPr>
          <w:p>
            <w:r>
              <w:rPr>
                <w:color w:val="999999"/>
                <w:sz w:val="16"/>
              </w:rPr>
              <w:t>intro-hl-2</w:t>
            </w:r>
          </w:p>
        </w:tc>
        <w:tc>
          <w:tcPr>
            <w:tcW w:type="dxa" w:w="4176"/>
          </w:tcPr>
          <w:p>
            <w:r>
              <w:t>of contact.</w:t>
            </w:r>
          </w:p>
        </w:tc>
        <w:tc>
          <w:tcPr>
            <w:tcW w:type="dxa" w:w="4176"/>
          </w:tcPr>
          <w:p>
            <w:r>
              <w:rPr>
                <w:sz w:val="22"/>
              </w:rPr>
              <w:t>контакта.</w:t>
            </w:r>
          </w:p>
        </w:tc>
      </w:tr>
      <w:tr>
        <w:tc>
          <w:tcPr>
            <w:tcW w:type="dxa" w:w="1296"/>
          </w:tcPr>
          <w:p>
            <w:r>
              <w:rPr>
                <w:color w:val="999999"/>
                <w:sz w:val="16"/>
              </w:rPr>
              <w:t>intro-hl-3</w:t>
            </w:r>
          </w:p>
        </w:tc>
        <w:tc>
          <w:tcPr>
            <w:tcW w:type="dxa" w:w="4176"/>
          </w:tcPr>
          <w:p>
            <w:r>
              <w:t>All suppliers.</w:t>
            </w:r>
          </w:p>
        </w:tc>
        <w:tc>
          <w:tcPr>
            <w:tcW w:type="dxa" w:w="4176"/>
          </w:tcPr>
          <w:p>
            <w:r>
              <w:rPr>
                <w:sz w:val="22"/>
              </w:rPr>
              <w:t>Все поставщики.</w:t>
            </w:r>
          </w:p>
        </w:tc>
      </w:tr>
    </w:tbl>
    <w:p>
      <w:pPr>
        <w:pStyle w:val="Heading1"/>
      </w:pPr>
      <w:r>
        <w:t>2 · Aree di competenza</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stag-coverage</w:t>
            </w:r>
          </w:p>
        </w:tc>
        <w:tc>
          <w:tcPr>
            <w:tcW w:type="dxa" w:w="4176"/>
          </w:tcPr>
          <w:p>
            <w:r>
              <w:t>Coverage Areas</w:t>
            </w:r>
          </w:p>
        </w:tc>
        <w:tc>
          <w:tcPr>
            <w:tcW w:type="dxa" w:w="4176"/>
          </w:tcPr>
          <w:p>
            <w:r>
              <w:rPr>
                <w:sz w:val="22"/>
              </w:rPr>
              <w:t>Области охвата</w:t>
            </w:r>
          </w:p>
        </w:tc>
      </w:tr>
      <w:tr>
        <w:tc>
          <w:tcPr>
            <w:tcW w:type="dxa" w:w="1296"/>
          </w:tcPr>
          <w:p>
            <w:r>
              <w:rPr>
                <w:color w:val="999999"/>
                <w:sz w:val="16"/>
              </w:rPr>
              <w:t>sectors-hl</w:t>
            </w:r>
          </w:p>
        </w:tc>
        <w:tc>
          <w:tcPr>
            <w:tcW w:type="dxa" w:w="4176"/>
          </w:tcPr>
          <w:p>
            <w:r>
              <w:t>Where we operate.&lt;br&gt;&lt;em&gt;What we cover.&lt;/em&gt;</w:t>
            </w:r>
          </w:p>
        </w:tc>
        <w:tc>
          <w:tcPr>
            <w:tcW w:type="dxa" w:w="4176"/>
          </w:tcPr>
          <w:p>
            <w:r>
              <w:rPr>
                <w:sz w:val="22"/>
              </w:rPr>
              <w:t>Где мы работаем.&lt;br&gt;&lt;em&gt;Что охватываем.&lt;/em&gt;</w:t>
            </w:r>
          </w:p>
        </w:tc>
      </w:tr>
      <w:tr>
        <w:tc>
          <w:tcPr>
            <w:tcW w:type="dxa" w:w="1296"/>
          </w:tcPr>
          <w:p>
            <w:r>
              <w:rPr>
                <w:color w:val="999999"/>
                <w:sz w:val="16"/>
              </w:rPr>
              <w:t>s01-title</w:t>
            </w:r>
          </w:p>
        </w:tc>
        <w:tc>
          <w:tcPr>
            <w:tcW w:type="dxa" w:w="4176"/>
          </w:tcPr>
          <w:p>
            <w:r>
              <w:t>Hospitality&lt;br&gt;&amp; Spa</w:t>
            </w:r>
          </w:p>
        </w:tc>
        <w:tc>
          <w:tcPr>
            <w:tcW w:type="dxa" w:w="4176"/>
          </w:tcPr>
          <w:p>
            <w:r>
              <w:rPr>
                <w:sz w:val="22"/>
              </w:rPr>
              <w:t>Гостиницы&lt;br&gt;и спа</w:t>
            </w:r>
          </w:p>
        </w:tc>
      </w:tr>
      <w:tr>
        <w:tc>
          <w:tcPr>
            <w:tcW w:type="dxa" w:w="1296"/>
          </w:tcPr>
          <w:p>
            <w:r>
              <w:rPr>
                <w:color w:val="999999"/>
                <w:sz w:val="16"/>
              </w:rPr>
              <w:t>s01-i1</w:t>
            </w:r>
          </w:p>
        </w:tc>
        <w:tc>
          <w:tcPr>
            <w:tcW w:type="dxa" w:w="4176"/>
          </w:tcPr>
          <w:p>
            <w:r>
              <w:t>Hotel &amp; Resort</w:t>
            </w:r>
          </w:p>
        </w:tc>
        <w:tc>
          <w:tcPr>
            <w:tcW w:type="dxa" w:w="4176"/>
          </w:tcPr>
          <w:p>
            <w:r>
              <w:rPr>
                <w:sz w:val="22"/>
              </w:rPr>
              <w:t>Отели и курорты</w:t>
            </w:r>
          </w:p>
        </w:tc>
      </w:tr>
      <w:tr>
        <w:tc>
          <w:tcPr>
            <w:tcW w:type="dxa" w:w="1296"/>
          </w:tcPr>
          <w:p>
            <w:r>
              <w:rPr>
                <w:color w:val="999999"/>
                <w:sz w:val="16"/>
              </w:rPr>
              <w:t>s01-i2</w:t>
            </w:r>
          </w:p>
        </w:tc>
        <w:tc>
          <w:tcPr>
            <w:tcW w:type="dxa" w:w="4176"/>
          </w:tcPr>
          <w:p>
            <w:r>
              <w:t>Spa &amp; Wellness</w:t>
            </w:r>
          </w:p>
        </w:tc>
        <w:tc>
          <w:tcPr>
            <w:tcW w:type="dxa" w:w="4176"/>
          </w:tcPr>
          <w:p>
            <w:r>
              <w:rPr>
                <w:sz w:val="22"/>
              </w:rPr>
              <w:t>Спа и велнес</w:t>
            </w:r>
          </w:p>
        </w:tc>
      </w:tr>
      <w:tr>
        <w:tc>
          <w:tcPr>
            <w:tcW w:type="dxa" w:w="1296"/>
          </w:tcPr>
          <w:p>
            <w:r>
              <w:rPr>
                <w:color w:val="999999"/>
                <w:sz w:val="16"/>
              </w:rPr>
              <w:t>s01-i3</w:t>
            </w:r>
          </w:p>
        </w:tc>
        <w:tc>
          <w:tcPr>
            <w:tcW w:type="dxa" w:w="4176"/>
          </w:tcPr>
          <w:p>
            <w:r>
              <w:t>F&amp;B Spaces</w:t>
            </w:r>
          </w:p>
        </w:tc>
        <w:tc>
          <w:tcPr>
            <w:tcW w:type="dxa" w:w="4176"/>
          </w:tcPr>
          <w:p>
            <w:r>
              <w:rPr>
                <w:sz w:val="22"/>
              </w:rPr>
              <w:t>Рестораны и бары</w:t>
            </w:r>
          </w:p>
        </w:tc>
      </w:tr>
      <w:tr>
        <w:tc>
          <w:tcPr>
            <w:tcW w:type="dxa" w:w="1296"/>
          </w:tcPr>
          <w:p>
            <w:r>
              <w:rPr>
                <w:color w:val="999999"/>
                <w:sz w:val="16"/>
              </w:rPr>
              <w:t>s01-i4</w:t>
            </w:r>
          </w:p>
        </w:tc>
        <w:tc>
          <w:tcPr>
            <w:tcW w:type="dxa" w:w="4176"/>
          </w:tcPr>
          <w:p>
            <w:r>
              <w:t>Suite &amp; Guestroom</w:t>
            </w:r>
          </w:p>
        </w:tc>
        <w:tc>
          <w:tcPr>
            <w:tcW w:type="dxa" w:w="4176"/>
          </w:tcPr>
          <w:p>
            <w:r>
              <w:rPr>
                <w:sz w:val="22"/>
              </w:rPr>
              <w:t>Сьюты и номера</w:t>
            </w:r>
          </w:p>
        </w:tc>
      </w:tr>
      <w:tr>
        <w:tc>
          <w:tcPr>
            <w:tcW w:type="dxa" w:w="1296"/>
          </w:tcPr>
          <w:p>
            <w:r>
              <w:rPr>
                <w:color w:val="999999"/>
                <w:sz w:val="16"/>
              </w:rPr>
              <w:t>s01-i5</w:t>
            </w:r>
          </w:p>
        </w:tc>
        <w:tc>
          <w:tcPr>
            <w:tcW w:type="dxa" w:w="4176"/>
          </w:tcPr>
          <w:p>
            <w:r>
              <w:t>Lobby &amp; Public Areas</w:t>
            </w:r>
          </w:p>
        </w:tc>
        <w:tc>
          <w:tcPr>
            <w:tcW w:type="dxa" w:w="4176"/>
          </w:tcPr>
          <w:p>
            <w:r>
              <w:rPr>
                <w:sz w:val="22"/>
              </w:rPr>
              <w:t>Лобби и общие зоны</w:t>
            </w:r>
          </w:p>
        </w:tc>
      </w:tr>
      <w:tr>
        <w:tc>
          <w:tcPr>
            <w:tcW w:type="dxa" w:w="1296"/>
          </w:tcPr>
          <w:p>
            <w:r>
              <w:rPr>
                <w:color w:val="999999"/>
                <w:sz w:val="16"/>
              </w:rPr>
              <w:t>s02-title</w:t>
            </w:r>
          </w:p>
        </w:tc>
        <w:tc>
          <w:tcPr>
            <w:tcW w:type="dxa" w:w="4176"/>
          </w:tcPr>
          <w:p>
            <w:r>
              <w:t>Residential&lt;br&gt;&amp; Private</w:t>
            </w:r>
          </w:p>
        </w:tc>
        <w:tc>
          <w:tcPr>
            <w:tcW w:type="dxa" w:w="4176"/>
          </w:tcPr>
          <w:p>
            <w:r>
              <w:rPr>
                <w:sz w:val="22"/>
              </w:rPr>
              <w:t>Жилой&lt;br&gt;и частный</w:t>
            </w:r>
          </w:p>
        </w:tc>
      </w:tr>
      <w:tr>
        <w:tc>
          <w:tcPr>
            <w:tcW w:type="dxa" w:w="1296"/>
          </w:tcPr>
          <w:p>
            <w:r>
              <w:rPr>
                <w:color w:val="999999"/>
                <w:sz w:val="16"/>
              </w:rPr>
              <w:t>s02-i1</w:t>
            </w:r>
          </w:p>
        </w:tc>
        <w:tc>
          <w:tcPr>
            <w:tcW w:type="dxa" w:w="4176"/>
          </w:tcPr>
          <w:p>
            <w:r>
              <w:t>Villa &amp; Private Home</w:t>
            </w:r>
          </w:p>
        </w:tc>
        <w:tc>
          <w:tcPr>
            <w:tcW w:type="dxa" w:w="4176"/>
          </w:tcPr>
          <w:p>
            <w:r>
              <w:rPr>
                <w:sz w:val="22"/>
              </w:rPr>
              <w:t>Виллы и частные дома</w:t>
            </w:r>
          </w:p>
        </w:tc>
      </w:tr>
      <w:tr>
        <w:tc>
          <w:tcPr>
            <w:tcW w:type="dxa" w:w="1296"/>
          </w:tcPr>
          <w:p>
            <w:r>
              <w:rPr>
                <w:color w:val="999999"/>
                <w:sz w:val="16"/>
              </w:rPr>
              <w:t>s02-i2</w:t>
            </w:r>
          </w:p>
        </w:tc>
        <w:tc>
          <w:tcPr>
            <w:tcW w:type="dxa" w:w="4176"/>
          </w:tcPr>
          <w:p>
            <w:r>
              <w:t>Luxury Apartment</w:t>
            </w:r>
          </w:p>
        </w:tc>
        <w:tc>
          <w:tcPr>
            <w:tcW w:type="dxa" w:w="4176"/>
          </w:tcPr>
          <w:p>
            <w:r>
              <w:rPr>
                <w:sz w:val="22"/>
              </w:rPr>
              <w:t>Люксовые апартаменты</w:t>
            </w:r>
          </w:p>
        </w:tc>
      </w:tr>
      <w:tr>
        <w:tc>
          <w:tcPr>
            <w:tcW w:type="dxa" w:w="1296"/>
          </w:tcPr>
          <w:p>
            <w:r>
              <w:rPr>
                <w:color w:val="999999"/>
                <w:sz w:val="16"/>
              </w:rPr>
              <w:t>s02-i3</w:t>
            </w:r>
          </w:p>
        </w:tc>
        <w:tc>
          <w:tcPr>
            <w:tcW w:type="dxa" w:w="4176"/>
          </w:tcPr>
          <w:p>
            <w:r>
              <w:t>Penthouse</w:t>
            </w:r>
          </w:p>
        </w:tc>
        <w:tc>
          <w:tcPr>
            <w:tcW w:type="dxa" w:w="4176"/>
          </w:tcPr>
          <w:p>
            <w:r>
              <w:rPr>
                <w:sz w:val="22"/>
              </w:rPr>
              <w:t>Пентхаус</w:t>
            </w:r>
          </w:p>
        </w:tc>
      </w:tr>
      <w:tr>
        <w:tc>
          <w:tcPr>
            <w:tcW w:type="dxa" w:w="1296"/>
          </w:tcPr>
          <w:p>
            <w:r>
              <w:rPr>
                <w:color w:val="999999"/>
                <w:sz w:val="16"/>
              </w:rPr>
              <w:t>s02-i4</w:t>
            </w:r>
          </w:p>
        </w:tc>
        <w:tc>
          <w:tcPr>
            <w:tcW w:type="dxa" w:w="4176"/>
          </w:tcPr>
          <w:p>
            <w:r>
              <w:t>Interior Fit-out</w:t>
            </w:r>
          </w:p>
        </w:tc>
        <w:tc>
          <w:tcPr>
            <w:tcW w:type="dxa" w:w="4176"/>
          </w:tcPr>
          <w:p>
            <w:r>
              <w:rPr>
                <w:sz w:val="22"/>
              </w:rPr>
              <w:t>Отделка интерьера</w:t>
            </w:r>
          </w:p>
        </w:tc>
      </w:tr>
      <w:tr>
        <w:tc>
          <w:tcPr>
            <w:tcW w:type="dxa" w:w="1296"/>
          </w:tcPr>
          <w:p>
            <w:r>
              <w:rPr>
                <w:color w:val="999999"/>
                <w:sz w:val="16"/>
              </w:rPr>
              <w:t>s02-i5</w:t>
            </w:r>
          </w:p>
        </w:tc>
        <w:tc>
          <w:tcPr>
            <w:tcW w:type="dxa" w:w="4176"/>
          </w:tcPr>
          <w:p>
            <w:r>
              <w:t>FF&amp;E Supply</w:t>
            </w:r>
          </w:p>
        </w:tc>
        <w:tc>
          <w:tcPr>
            <w:tcW w:type="dxa" w:w="4176"/>
          </w:tcPr>
          <w:p>
            <w:r>
              <w:rPr>
                <w:sz w:val="22"/>
              </w:rPr>
              <w:t>Поставка FF&amp;E</w:t>
            </w:r>
          </w:p>
        </w:tc>
      </w:tr>
      <w:tr>
        <w:tc>
          <w:tcPr>
            <w:tcW w:type="dxa" w:w="1296"/>
          </w:tcPr>
          <w:p>
            <w:r>
              <w:rPr>
                <w:color w:val="999999"/>
                <w:sz w:val="16"/>
              </w:rPr>
              <w:t>s03-title</w:t>
            </w:r>
          </w:p>
        </w:tc>
        <w:tc>
          <w:tcPr>
            <w:tcW w:type="dxa" w:w="4176"/>
          </w:tcPr>
          <w:p>
            <w:r>
              <w:t>Government&lt;br&gt;Buildings</w:t>
            </w:r>
          </w:p>
        </w:tc>
        <w:tc>
          <w:tcPr>
            <w:tcW w:type="dxa" w:w="4176"/>
          </w:tcPr>
          <w:p>
            <w:r>
              <w:rPr>
                <w:sz w:val="22"/>
              </w:rPr>
              <w:t>Государственные&lt;br&gt;здания</w:t>
            </w:r>
          </w:p>
        </w:tc>
      </w:tr>
      <w:tr>
        <w:tc>
          <w:tcPr>
            <w:tcW w:type="dxa" w:w="1296"/>
          </w:tcPr>
          <w:p>
            <w:r>
              <w:rPr>
                <w:color w:val="999999"/>
                <w:sz w:val="16"/>
              </w:rPr>
              <w:t>s03-i1</w:t>
            </w:r>
          </w:p>
        </w:tc>
        <w:tc>
          <w:tcPr>
            <w:tcW w:type="dxa" w:w="4176"/>
          </w:tcPr>
          <w:p>
            <w:r>
              <w:t>Government Palaces</w:t>
            </w:r>
          </w:p>
        </w:tc>
        <w:tc>
          <w:tcPr>
            <w:tcW w:type="dxa" w:w="4176"/>
          </w:tcPr>
          <w:p>
            <w:r>
              <w:rPr>
                <w:sz w:val="22"/>
              </w:rPr>
              <w:t>Правительственные дворцы</w:t>
            </w:r>
          </w:p>
        </w:tc>
      </w:tr>
      <w:tr>
        <w:tc>
          <w:tcPr>
            <w:tcW w:type="dxa" w:w="1296"/>
          </w:tcPr>
          <w:p>
            <w:r>
              <w:rPr>
                <w:color w:val="999999"/>
                <w:sz w:val="16"/>
              </w:rPr>
              <w:t>s03-i2</w:t>
            </w:r>
          </w:p>
        </w:tc>
        <w:tc>
          <w:tcPr>
            <w:tcW w:type="dxa" w:w="4176"/>
          </w:tcPr>
          <w:p>
            <w:r>
              <w:t>Parliament &amp; Government</w:t>
            </w:r>
          </w:p>
        </w:tc>
        <w:tc>
          <w:tcPr>
            <w:tcW w:type="dxa" w:w="4176"/>
          </w:tcPr>
          <w:p>
            <w:r>
              <w:rPr>
                <w:sz w:val="22"/>
              </w:rPr>
              <w:t>Парламент и Правительство</w:t>
            </w:r>
          </w:p>
        </w:tc>
      </w:tr>
      <w:tr>
        <w:tc>
          <w:tcPr>
            <w:tcW w:type="dxa" w:w="1296"/>
          </w:tcPr>
          <w:p>
            <w:r>
              <w:rPr>
                <w:color w:val="999999"/>
                <w:sz w:val="16"/>
              </w:rPr>
              <w:t>s03-i3</w:t>
            </w:r>
          </w:p>
        </w:tc>
        <w:tc>
          <w:tcPr>
            <w:tcW w:type="dxa" w:w="4176"/>
          </w:tcPr>
          <w:p>
            <w:r>
              <w:t>State Archives</w:t>
            </w:r>
          </w:p>
        </w:tc>
        <w:tc>
          <w:tcPr>
            <w:tcW w:type="dxa" w:w="4176"/>
          </w:tcPr>
          <w:p>
            <w:r>
              <w:rPr>
                <w:sz w:val="22"/>
              </w:rPr>
              <w:t>Государственные архивы</w:t>
            </w:r>
          </w:p>
        </w:tc>
      </w:tr>
      <w:tr>
        <w:tc>
          <w:tcPr>
            <w:tcW w:type="dxa" w:w="1296"/>
          </w:tcPr>
          <w:p>
            <w:r>
              <w:rPr>
                <w:color w:val="999999"/>
                <w:sz w:val="16"/>
              </w:rPr>
              <w:t>s03-i4</w:t>
            </w:r>
          </w:p>
        </w:tc>
        <w:tc>
          <w:tcPr>
            <w:tcW w:type="dxa" w:w="4176"/>
          </w:tcPr>
          <w:p>
            <w:r>
              <w:t>Ministerial Offices</w:t>
            </w:r>
          </w:p>
        </w:tc>
        <w:tc>
          <w:tcPr>
            <w:tcW w:type="dxa" w:w="4176"/>
          </w:tcPr>
          <w:p>
            <w:r>
              <w:rPr>
                <w:sz w:val="22"/>
              </w:rPr>
              <w:t>Министерские кабинеты</w:t>
            </w:r>
          </w:p>
        </w:tc>
      </w:tr>
      <w:tr>
        <w:tc>
          <w:tcPr>
            <w:tcW w:type="dxa" w:w="1296"/>
          </w:tcPr>
          <w:p>
            <w:r>
              <w:rPr>
                <w:color w:val="999999"/>
                <w:sz w:val="16"/>
              </w:rPr>
              <w:t>s03-i5</w:t>
            </w:r>
          </w:p>
        </w:tc>
        <w:tc>
          <w:tcPr>
            <w:tcW w:type="dxa" w:w="4176"/>
          </w:tcPr>
          <w:p>
            <w:r>
              <w:t>Consular &amp; Official Residences</w:t>
            </w:r>
          </w:p>
        </w:tc>
        <w:tc>
          <w:tcPr>
            <w:tcW w:type="dxa" w:w="4176"/>
          </w:tcPr>
          <w:p>
            <w:r>
              <w:rPr>
                <w:sz w:val="22"/>
              </w:rPr>
              <w:t>Консульские резиденции</w:t>
            </w:r>
          </w:p>
        </w:tc>
      </w:tr>
      <w:tr>
        <w:tc>
          <w:tcPr>
            <w:tcW w:type="dxa" w:w="1296"/>
          </w:tcPr>
          <w:p>
            <w:r>
              <w:rPr>
                <w:color w:val="999999"/>
                <w:sz w:val="16"/>
              </w:rPr>
              <w:t>s03-i6</w:t>
            </w:r>
          </w:p>
        </w:tc>
        <w:tc>
          <w:tcPr>
            <w:tcW w:type="dxa" w:w="4176"/>
          </w:tcPr>
          <w:p>
            <w:r>
              <w:t>Ministries</w:t>
            </w:r>
          </w:p>
        </w:tc>
        <w:tc>
          <w:tcPr>
            <w:tcW w:type="dxa" w:w="4176"/>
          </w:tcPr>
          <w:p>
            <w:r>
              <w:rPr>
                <w:sz w:val="22"/>
              </w:rPr>
              <w:t>Министерства</w:t>
            </w:r>
          </w:p>
        </w:tc>
      </w:tr>
      <w:tr>
        <w:tc>
          <w:tcPr>
            <w:tcW w:type="dxa" w:w="1296"/>
          </w:tcPr>
          <w:p>
            <w:r>
              <w:rPr>
                <w:color w:val="999999"/>
                <w:sz w:val="16"/>
              </w:rPr>
              <w:t>s03-i7</w:t>
            </w:r>
          </w:p>
        </w:tc>
        <w:tc>
          <w:tcPr>
            <w:tcW w:type="dxa" w:w="4176"/>
          </w:tcPr>
          <w:p>
            <w:r>
              <w:t>Facades, Ceilings and Flooring</w:t>
            </w:r>
          </w:p>
        </w:tc>
        <w:tc>
          <w:tcPr>
            <w:tcW w:type="dxa" w:w="4176"/>
          </w:tcPr>
          <w:p>
            <w:r>
              <w:rPr>
                <w:sz w:val="22"/>
              </w:rPr>
              <w:t>Фасады, потолки и полы</w:t>
            </w:r>
          </w:p>
        </w:tc>
      </w:tr>
      <w:tr>
        <w:tc>
          <w:tcPr>
            <w:tcW w:type="dxa" w:w="1296"/>
          </w:tcPr>
          <w:p>
            <w:r>
              <w:rPr>
                <w:color w:val="999999"/>
                <w:sz w:val="16"/>
              </w:rPr>
              <w:t>s04-title</w:t>
            </w:r>
          </w:p>
        </w:tc>
        <w:tc>
          <w:tcPr>
            <w:tcW w:type="dxa" w:w="4176"/>
          </w:tcPr>
          <w:p>
            <w:r>
              <w:t>Retail</w:t>
            </w:r>
          </w:p>
        </w:tc>
        <w:tc>
          <w:tcPr>
            <w:tcW w:type="dxa" w:w="4176"/>
          </w:tcPr>
          <w:p>
            <w:r>
              <w:rPr>
                <w:sz w:val="22"/>
              </w:rPr>
              <w:t>Ритейл</w:t>
            </w:r>
          </w:p>
        </w:tc>
      </w:tr>
      <w:tr>
        <w:tc>
          <w:tcPr>
            <w:tcW w:type="dxa" w:w="1296"/>
          </w:tcPr>
          <w:p>
            <w:r>
              <w:rPr>
                <w:color w:val="999999"/>
                <w:sz w:val="16"/>
              </w:rPr>
              <w:t>s04-i1</w:t>
            </w:r>
          </w:p>
        </w:tc>
        <w:tc>
          <w:tcPr>
            <w:tcW w:type="dxa" w:w="4176"/>
          </w:tcPr>
          <w:p>
            <w:r>
              <w:t>Flagship Stores</w:t>
            </w:r>
          </w:p>
        </w:tc>
        <w:tc>
          <w:tcPr>
            <w:tcW w:type="dxa" w:w="4176"/>
          </w:tcPr>
          <w:p>
            <w:r>
              <w:rPr>
                <w:sz w:val="22"/>
              </w:rPr>
              <w:t>Флагманские магазины</w:t>
            </w:r>
          </w:p>
        </w:tc>
      </w:tr>
      <w:tr>
        <w:tc>
          <w:tcPr>
            <w:tcW w:type="dxa" w:w="1296"/>
          </w:tcPr>
          <w:p>
            <w:r>
              <w:rPr>
                <w:color w:val="999999"/>
                <w:sz w:val="16"/>
              </w:rPr>
              <w:t>s04-i2</w:t>
            </w:r>
          </w:p>
        </w:tc>
        <w:tc>
          <w:tcPr>
            <w:tcW w:type="dxa" w:w="4176"/>
          </w:tcPr>
          <w:p>
            <w:r>
              <w:t>Pop-up &amp; Brand Activation</w:t>
            </w:r>
          </w:p>
        </w:tc>
        <w:tc>
          <w:tcPr>
            <w:tcW w:type="dxa" w:w="4176"/>
          </w:tcPr>
          <w:p>
            <w:r>
              <w:rPr>
                <w:sz w:val="22"/>
              </w:rPr>
              <w:t>Поп-ап и активация бренда</w:t>
            </w:r>
          </w:p>
        </w:tc>
      </w:tr>
      <w:tr>
        <w:tc>
          <w:tcPr>
            <w:tcW w:type="dxa" w:w="1296"/>
          </w:tcPr>
          <w:p>
            <w:r>
              <w:rPr>
                <w:color w:val="999999"/>
                <w:sz w:val="16"/>
              </w:rPr>
              <w:t>s04-i3</w:t>
            </w:r>
          </w:p>
        </w:tc>
        <w:tc>
          <w:tcPr>
            <w:tcW w:type="dxa" w:w="4176"/>
          </w:tcPr>
          <w:p>
            <w:r>
              <w:t>Shop-in-shop</w:t>
            </w:r>
          </w:p>
        </w:tc>
        <w:tc>
          <w:tcPr>
            <w:tcW w:type="dxa" w:w="4176"/>
          </w:tcPr>
          <w:p>
            <w:r>
              <w:rPr>
                <w:sz w:val="22"/>
              </w:rPr>
              <w:t>Магазин в магазине</w:t>
            </w:r>
          </w:p>
        </w:tc>
      </w:tr>
      <w:tr>
        <w:tc>
          <w:tcPr>
            <w:tcW w:type="dxa" w:w="1296"/>
          </w:tcPr>
          <w:p>
            <w:r>
              <w:rPr>
                <w:color w:val="999999"/>
                <w:sz w:val="16"/>
              </w:rPr>
              <w:t>s04-i4</w:t>
            </w:r>
          </w:p>
        </w:tc>
        <w:tc>
          <w:tcPr>
            <w:tcW w:type="dxa" w:w="4176"/>
          </w:tcPr>
          <w:p>
            <w:r>
              <w:t>Visual Merchandising</w:t>
            </w:r>
          </w:p>
        </w:tc>
        <w:tc>
          <w:tcPr>
            <w:tcW w:type="dxa" w:w="4176"/>
          </w:tcPr>
          <w:p>
            <w:r>
              <w:rPr>
                <w:sz w:val="22"/>
              </w:rPr>
              <w:t>Визуальный мерчандайзинг</w:t>
            </w:r>
          </w:p>
        </w:tc>
      </w:tr>
      <w:tr>
        <w:tc>
          <w:tcPr>
            <w:tcW w:type="dxa" w:w="1296"/>
          </w:tcPr>
          <w:p>
            <w:r>
              <w:rPr>
                <w:color w:val="999999"/>
                <w:sz w:val="16"/>
              </w:rPr>
              <w:t>s05-title</w:t>
            </w:r>
          </w:p>
        </w:tc>
        <w:tc>
          <w:tcPr>
            <w:tcW w:type="dxa" w:w="4176"/>
          </w:tcPr>
          <w:p>
            <w:r>
              <w:t>Prime Property&lt;br&gt;Sourcing</w:t>
            </w:r>
          </w:p>
        </w:tc>
        <w:tc>
          <w:tcPr>
            <w:tcW w:type="dxa" w:w="4176"/>
          </w:tcPr>
          <w:p>
            <w:r>
              <w:rPr>
                <w:sz w:val="22"/>
              </w:rPr>
              <w:t>Поиск элитной&lt;br&gt;недвижимости</w:t>
            </w:r>
          </w:p>
        </w:tc>
      </w:tr>
      <w:tr>
        <w:tc>
          <w:tcPr>
            <w:tcW w:type="dxa" w:w="1296"/>
          </w:tcPr>
          <w:p>
            <w:r>
              <w:rPr>
                <w:color w:val="999999"/>
                <w:sz w:val="16"/>
              </w:rPr>
              <w:t>s05-i1</w:t>
            </w:r>
          </w:p>
        </w:tc>
        <w:tc>
          <w:tcPr>
            <w:tcW w:type="dxa" w:w="4176"/>
          </w:tcPr>
          <w:p>
            <w:r>
              <w:t>Ultra Prime Residential</w:t>
            </w:r>
          </w:p>
        </w:tc>
        <w:tc>
          <w:tcPr>
            <w:tcW w:type="dxa" w:w="4176"/>
          </w:tcPr>
          <w:p>
            <w:r>
              <w:rPr>
                <w:sz w:val="22"/>
              </w:rPr>
              <w:t>Ультра-премиум жильё</w:t>
            </w:r>
          </w:p>
        </w:tc>
      </w:tr>
      <w:tr>
        <w:tc>
          <w:tcPr>
            <w:tcW w:type="dxa" w:w="1296"/>
          </w:tcPr>
          <w:p>
            <w:r>
              <w:rPr>
                <w:color w:val="999999"/>
                <w:sz w:val="16"/>
              </w:rPr>
              <w:t>s05-i2</w:t>
            </w:r>
          </w:p>
        </w:tc>
        <w:tc>
          <w:tcPr>
            <w:tcW w:type="dxa" w:w="4176"/>
          </w:tcPr>
          <w:p>
            <w:r>
              <w:t>Signature Residences</w:t>
            </w:r>
          </w:p>
        </w:tc>
        <w:tc>
          <w:tcPr>
            <w:tcW w:type="dxa" w:w="4176"/>
          </w:tcPr>
          <w:p>
            <w:r>
              <w:rPr>
                <w:sz w:val="22"/>
              </w:rPr>
              <w:t>Signature Residences</w:t>
            </w:r>
          </w:p>
        </w:tc>
      </w:tr>
      <w:tr>
        <w:tc>
          <w:tcPr>
            <w:tcW w:type="dxa" w:w="1296"/>
          </w:tcPr>
          <w:p>
            <w:r>
              <w:rPr>
                <w:color w:val="999999"/>
                <w:sz w:val="16"/>
              </w:rPr>
              <w:t>s05-i3</w:t>
            </w:r>
          </w:p>
        </w:tc>
        <w:tc>
          <w:tcPr>
            <w:tcW w:type="dxa" w:w="4176"/>
          </w:tcPr>
          <w:p>
            <w:r>
              <w:t>Bespoke Interiors</w:t>
            </w:r>
          </w:p>
        </w:tc>
        <w:tc>
          <w:tcPr>
            <w:tcW w:type="dxa" w:w="4176"/>
          </w:tcPr>
          <w:p>
            <w:r>
              <w:rPr>
                <w:sz w:val="22"/>
              </w:rPr>
              <w:t>Эксклюзивные интерьеры</w:t>
            </w:r>
          </w:p>
        </w:tc>
      </w:tr>
      <w:tr>
        <w:tc>
          <w:tcPr>
            <w:tcW w:type="dxa" w:w="1296"/>
          </w:tcPr>
          <w:p>
            <w:r>
              <w:rPr>
                <w:color w:val="999999"/>
                <w:sz w:val="16"/>
              </w:rPr>
              <w:t>s05-i4</w:t>
            </w:r>
          </w:p>
        </w:tc>
        <w:tc>
          <w:tcPr>
            <w:tcW w:type="dxa" w:w="4176"/>
          </w:tcPr>
          <w:p>
            <w:r>
              <w:t>Focus on Milan Italy</w:t>
            </w:r>
          </w:p>
        </w:tc>
        <w:tc>
          <w:tcPr>
            <w:tcW w:type="dxa" w:w="4176"/>
          </w:tcPr>
          <w:p>
            <w:r>
              <w:rPr>
                <w:sz w:val="22"/>
              </w:rPr>
              <w:t>Фокус на Милан</w:t>
            </w:r>
          </w:p>
        </w:tc>
      </w:tr>
      <w:tr>
        <w:tc>
          <w:tcPr>
            <w:tcW w:type="dxa" w:w="1296"/>
          </w:tcPr>
          <w:p>
            <w:r>
              <w:rPr>
                <w:color w:val="999999"/>
                <w:sz w:val="16"/>
              </w:rPr>
              <w:t>s06-title</w:t>
            </w:r>
          </w:p>
        </w:tc>
        <w:tc>
          <w:tcPr>
            <w:tcW w:type="dxa" w:w="4176"/>
          </w:tcPr>
          <w:p>
            <w:r>
              <w:t>Yachting&lt;br&gt;&amp; Marine</w:t>
            </w:r>
          </w:p>
        </w:tc>
        <w:tc>
          <w:tcPr>
            <w:tcW w:type="dxa" w:w="4176"/>
          </w:tcPr>
          <w:p>
            <w:r>
              <w:rPr>
                <w:sz w:val="22"/>
              </w:rPr>
              <w:t>Яхтинг&lt;br&gt;и морской</w:t>
            </w:r>
          </w:p>
        </w:tc>
      </w:tr>
      <w:tr>
        <w:tc>
          <w:tcPr>
            <w:tcW w:type="dxa" w:w="1296"/>
          </w:tcPr>
          <w:p>
            <w:r>
              <w:rPr>
                <w:color w:val="999999"/>
                <w:sz w:val="16"/>
              </w:rPr>
              <w:t>s06-i1</w:t>
            </w:r>
          </w:p>
        </w:tc>
        <w:tc>
          <w:tcPr>
            <w:tcW w:type="dxa" w:w="4176"/>
          </w:tcPr>
          <w:p>
            <w:r>
              <w:t>Superyacht Interior</w:t>
            </w:r>
          </w:p>
        </w:tc>
        <w:tc>
          <w:tcPr>
            <w:tcW w:type="dxa" w:w="4176"/>
          </w:tcPr>
          <w:p>
            <w:r>
              <w:rPr>
                <w:sz w:val="22"/>
              </w:rPr>
              <w:t>Интерьер суперяхты</w:t>
            </w:r>
          </w:p>
        </w:tc>
      </w:tr>
      <w:tr>
        <w:tc>
          <w:tcPr>
            <w:tcW w:type="dxa" w:w="1296"/>
          </w:tcPr>
          <w:p>
            <w:r>
              <w:rPr>
                <w:color w:val="999999"/>
                <w:sz w:val="16"/>
              </w:rPr>
              <w:t>s06-i2</w:t>
            </w:r>
          </w:p>
        </w:tc>
        <w:tc>
          <w:tcPr>
            <w:tcW w:type="dxa" w:w="4176"/>
          </w:tcPr>
          <w:p>
            <w:r>
              <w:t>FF&amp;E Marine-grade</w:t>
            </w:r>
          </w:p>
        </w:tc>
        <w:tc>
          <w:tcPr>
            <w:tcW w:type="dxa" w:w="4176"/>
          </w:tcPr>
          <w:p>
            <w:r>
              <w:rPr>
                <w:sz w:val="22"/>
              </w:rPr>
              <w:t>FF&amp;E морского класса</w:t>
            </w:r>
          </w:p>
        </w:tc>
      </w:tr>
      <w:tr>
        <w:tc>
          <w:tcPr>
            <w:tcW w:type="dxa" w:w="1296"/>
          </w:tcPr>
          <w:p>
            <w:r>
              <w:rPr>
                <w:color w:val="999999"/>
                <w:sz w:val="16"/>
              </w:rPr>
              <w:t>s06-i3</w:t>
            </w:r>
          </w:p>
        </w:tc>
        <w:tc>
          <w:tcPr>
            <w:tcW w:type="dxa" w:w="4176"/>
          </w:tcPr>
          <w:p>
            <w:r>
              <w:t>Custom Joinery</w:t>
            </w:r>
          </w:p>
        </w:tc>
        <w:tc>
          <w:tcPr>
            <w:tcW w:type="dxa" w:w="4176"/>
          </w:tcPr>
          <w:p>
            <w:r>
              <w:rPr>
                <w:sz w:val="22"/>
              </w:rPr>
              <w:t>Изготовление на заказ</w:t>
            </w:r>
          </w:p>
        </w:tc>
      </w:tr>
      <w:tr>
        <w:tc>
          <w:tcPr>
            <w:tcW w:type="dxa" w:w="1296"/>
          </w:tcPr>
          <w:p>
            <w:r>
              <w:rPr>
                <w:color w:val="999999"/>
                <w:sz w:val="16"/>
              </w:rPr>
              <w:t>s06-i4</w:t>
            </w:r>
          </w:p>
        </w:tc>
        <w:tc>
          <w:tcPr>
            <w:tcW w:type="dxa" w:w="4176"/>
          </w:tcPr>
          <w:p>
            <w:r>
              <w:t>Upholstery &amp; Fabric</w:t>
            </w:r>
          </w:p>
        </w:tc>
        <w:tc>
          <w:tcPr>
            <w:tcW w:type="dxa" w:w="4176"/>
          </w:tcPr>
          <w:p>
            <w:r>
              <w:rPr>
                <w:sz w:val="22"/>
              </w:rPr>
              <w:t>Обивка и ткани</w:t>
            </w:r>
          </w:p>
        </w:tc>
      </w:tr>
      <w:tr>
        <w:tc>
          <w:tcPr>
            <w:tcW w:type="dxa" w:w="1296"/>
          </w:tcPr>
          <w:p>
            <w:r>
              <w:rPr>
                <w:color w:val="999999"/>
                <w:sz w:val="16"/>
              </w:rPr>
              <w:t>s07-title</w:t>
            </w:r>
          </w:p>
        </w:tc>
        <w:tc>
          <w:tcPr>
            <w:tcW w:type="dxa" w:w="4176"/>
          </w:tcPr>
          <w:p>
            <w:r>
              <w:t>Digital Layer</w:t>
            </w:r>
          </w:p>
        </w:tc>
        <w:tc>
          <w:tcPr>
            <w:tcW w:type="dxa" w:w="4176"/>
          </w:tcPr>
          <w:p>
            <w:r>
              <w:rPr>
                <w:sz w:val="22"/>
              </w:rPr>
              <w:t>Цифровой слой</w:t>
            </w:r>
          </w:p>
        </w:tc>
      </w:tr>
      <w:tr>
        <w:tc>
          <w:tcPr>
            <w:tcW w:type="dxa" w:w="1296"/>
          </w:tcPr>
          <w:p>
            <w:r>
              <w:rPr>
                <w:color w:val="999999"/>
                <w:sz w:val="16"/>
              </w:rPr>
              <w:t>s07-i1</w:t>
            </w:r>
          </w:p>
        </w:tc>
        <w:tc>
          <w:tcPr>
            <w:tcW w:type="dxa" w:w="4176"/>
          </w:tcPr>
          <w:p>
            <w:r>
              <w:t>Social Media Presence &amp; Strategy</w:t>
            </w:r>
          </w:p>
        </w:tc>
        <w:tc>
          <w:tcPr>
            <w:tcW w:type="dxa" w:w="4176"/>
          </w:tcPr>
          <w:p>
            <w:r>
              <w:rPr>
                <w:sz w:val="22"/>
              </w:rPr>
              <w:t>Присутствие в соцсетях и стратегия</w:t>
            </w:r>
          </w:p>
        </w:tc>
      </w:tr>
      <w:tr>
        <w:tc>
          <w:tcPr>
            <w:tcW w:type="dxa" w:w="1296"/>
          </w:tcPr>
          <w:p>
            <w:r>
              <w:rPr>
                <w:color w:val="999999"/>
                <w:sz w:val="16"/>
              </w:rPr>
              <w:t>s07-i2</w:t>
            </w:r>
          </w:p>
        </w:tc>
        <w:tc>
          <w:tcPr>
            <w:tcW w:type="dxa" w:w="4176"/>
          </w:tcPr>
          <w:p>
            <w:r>
              <w:t>Enterprise E-Commerce &amp; Digital Distribution</w:t>
            </w:r>
          </w:p>
        </w:tc>
        <w:tc>
          <w:tcPr>
            <w:tcW w:type="dxa" w:w="4176"/>
          </w:tcPr>
          <w:p>
            <w:r>
              <w:rPr>
                <w:sz w:val="22"/>
              </w:rPr>
              <w:t>Корпоративная электронная коммерция и цифровая дистрибуция</w:t>
            </w:r>
          </w:p>
        </w:tc>
      </w:tr>
      <w:tr>
        <w:tc>
          <w:tcPr>
            <w:tcW w:type="dxa" w:w="1296"/>
          </w:tcPr>
          <w:p>
            <w:r>
              <w:rPr>
                <w:color w:val="999999"/>
                <w:sz w:val="16"/>
              </w:rPr>
              <w:t>s07-i3</w:t>
            </w:r>
          </w:p>
        </w:tc>
        <w:tc>
          <w:tcPr>
            <w:tcW w:type="dxa" w:w="4176"/>
          </w:tcPr>
          <w:p>
            <w:r>
              <w:t>Customer Engagement &amp; Loyalty Programs</w:t>
            </w:r>
          </w:p>
        </w:tc>
        <w:tc>
          <w:tcPr>
            <w:tcW w:type="dxa" w:w="4176"/>
          </w:tcPr>
          <w:p>
            <w:r>
              <w:rPr>
                <w:sz w:val="22"/>
              </w:rPr>
              <w:t>Вовлечённость клиентов и программы лояльности</w:t>
            </w:r>
          </w:p>
        </w:tc>
      </w:tr>
      <w:tr>
        <w:tc>
          <w:tcPr>
            <w:tcW w:type="dxa" w:w="1296"/>
          </w:tcPr>
          <w:p>
            <w:r>
              <w:rPr>
                <w:color w:val="999999"/>
                <w:sz w:val="16"/>
              </w:rPr>
              <w:t>s07-i4</w:t>
            </w:r>
          </w:p>
        </w:tc>
        <w:tc>
          <w:tcPr>
            <w:tcW w:type="dxa" w:w="4176"/>
          </w:tcPr>
          <w:p>
            <w:r>
              <w:t>Data &amp; Performance Intelligence</w:t>
            </w:r>
          </w:p>
        </w:tc>
        <w:tc>
          <w:tcPr>
            <w:tcW w:type="dxa" w:w="4176"/>
          </w:tcPr>
          <w:p>
            <w:r>
              <w:rPr>
                <w:sz w:val="22"/>
              </w:rPr>
              <w:t>Аналитика данных и управление эффективностью</w:t>
            </w:r>
          </w:p>
        </w:tc>
      </w:tr>
      <w:tr>
        <w:tc>
          <w:tcPr>
            <w:tcW w:type="dxa" w:w="1296"/>
          </w:tcPr>
          <w:p>
            <w:r>
              <w:rPr>
                <w:color w:val="999999"/>
                <w:sz w:val="16"/>
              </w:rPr>
              <w:t>s07-i5</w:t>
            </w:r>
          </w:p>
        </w:tc>
        <w:tc>
          <w:tcPr>
            <w:tcW w:type="dxa" w:w="4176"/>
          </w:tcPr>
          <w:p>
            <w:r>
              <w:t>Brand Strategy &amp; Creativity</w:t>
            </w:r>
          </w:p>
        </w:tc>
        <w:tc>
          <w:tcPr>
            <w:tcW w:type="dxa" w:w="4176"/>
          </w:tcPr>
          <w:p>
            <w:r>
              <w:rPr>
                <w:sz w:val="22"/>
              </w:rPr>
              <w:t>Стратегия бренда и креатив</w:t>
            </w:r>
          </w:p>
        </w:tc>
      </w:tr>
      <w:tr>
        <w:tc>
          <w:tcPr>
            <w:tcW w:type="dxa" w:w="1296"/>
          </w:tcPr>
          <w:p>
            <w:r>
              <w:rPr>
                <w:color w:val="999999"/>
                <w:sz w:val="16"/>
              </w:rPr>
              <w:t>s07-i6</w:t>
            </w:r>
          </w:p>
        </w:tc>
        <w:tc>
          <w:tcPr>
            <w:tcW w:type="dxa" w:w="4176"/>
          </w:tcPr>
          <w:p>
            <w:r>
              <w:t>AI-Powered Process Automation</w:t>
            </w:r>
          </w:p>
        </w:tc>
        <w:tc>
          <w:tcPr>
            <w:tcW w:type="dxa" w:w="4176"/>
          </w:tcPr>
          <w:p>
            <w:r>
              <w:rPr>
                <w:sz w:val="22"/>
              </w:rPr>
              <w:t>Автоматизация процессов на базе ИИ</w:t>
            </w:r>
          </w:p>
        </w:tc>
      </w:tr>
    </w:tbl>
    <w:p>
      <w:pPr>
        <w:pStyle w:val="Heading1"/>
      </w:pPr>
      <w:r>
        <w:t>3 · Il problema</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stag-problem</w:t>
            </w:r>
          </w:p>
        </w:tc>
        <w:tc>
          <w:tcPr>
            <w:tcW w:type="dxa" w:w="4176"/>
          </w:tcPr>
          <w:p>
            <w:r>
              <w:t>The problem</w:t>
            </w:r>
          </w:p>
        </w:tc>
        <w:tc>
          <w:tcPr>
            <w:tcW w:type="dxa" w:w="4176"/>
          </w:tcPr>
          <w:p>
            <w:r>
              <w:rPr>
                <w:sz w:val="22"/>
              </w:rPr>
              <w:t>Проблема</w:t>
            </w:r>
          </w:p>
        </w:tc>
      </w:tr>
      <w:tr>
        <w:tc>
          <w:tcPr>
            <w:tcW w:type="dxa" w:w="1296"/>
          </w:tcPr>
          <w:p>
            <w:r>
              <w:rPr>
                <w:color w:val="999999"/>
                <w:sz w:val="16"/>
              </w:rPr>
              <w:t>problem-big</w:t>
            </w:r>
          </w:p>
        </w:tc>
        <w:tc>
          <w:tcPr>
            <w:tcW w:type="dxa" w:w="4176"/>
          </w:tcPr>
          <w:p>
            <w:r>
              <w:t>Great design loses its value&lt;br&gt;the moment it enters&lt;br&gt;&lt;span&gt;an unmanaged supply chain.&lt;/span&gt;</w:t>
            </w:r>
          </w:p>
        </w:tc>
        <w:tc>
          <w:tcPr>
            <w:tcW w:type="dxa" w:w="4176"/>
          </w:tcPr>
          <w:p>
            <w:r>
              <w:rPr>
                <w:sz w:val="22"/>
              </w:rPr>
              <w:t>Великий дизайн теряет ценность&lt;br&gt;попав в&lt;br&gt;&lt;span&gt;неуправляемую цепочку поставок.&lt;/span&gt;</w:t>
            </w:r>
          </w:p>
        </w:tc>
      </w:tr>
      <w:tr>
        <w:tc>
          <w:tcPr>
            <w:tcW w:type="dxa" w:w="1296"/>
          </w:tcPr>
          <w:p>
            <w:r>
              <w:rPr>
                <w:color w:val="999999"/>
                <w:sz w:val="16"/>
              </w:rPr>
              <w:t>prob-tag1</w:t>
            </w:r>
          </w:p>
        </w:tc>
        <w:tc>
          <w:tcPr>
            <w:tcW w:type="dxa" w:w="4176"/>
          </w:tcPr>
          <w:p>
            <w:r>
              <w:t>Average cost overrun</w:t>
            </w:r>
          </w:p>
        </w:tc>
        <w:tc>
          <w:tcPr>
            <w:tcW w:type="dxa" w:w="4176"/>
          </w:tcPr>
          <w:p>
            <w:r>
              <w:rPr>
                <w:sz w:val="22"/>
              </w:rPr>
              <w:t>Средний перерасход</w:t>
            </w:r>
          </w:p>
        </w:tc>
      </w:tr>
      <w:tr>
        <w:tc>
          <w:tcPr>
            <w:tcW w:type="dxa" w:w="1296"/>
          </w:tcPr>
          <w:p>
            <w:r>
              <w:rPr>
                <w:color w:val="999999"/>
                <w:sz w:val="16"/>
              </w:rPr>
              <w:t>prob-txt1</w:t>
            </w:r>
          </w:p>
        </w:tc>
        <w:tc>
          <w:tcPr>
            <w:tcW w:type="dxa" w:w="4176"/>
          </w:tcPr>
          <w:p>
            <w:r>
              <w:t>Hospitality fitouts exceed budget on 7 out of 10 projects, due to poor supplier coordination and uncontrolled change orders.</w:t>
            </w:r>
          </w:p>
        </w:tc>
        <w:tc>
          <w:tcPr>
            <w:tcW w:type="dxa" w:w="4176"/>
          </w:tcPr>
          <w:p>
            <w:r>
              <w:rPr>
                <w:sz w:val="22"/>
              </w:rPr>
              <w:t>7 из 10 проектов превышают бюджет из-за плохой координации поставщиков.</w:t>
            </w:r>
          </w:p>
        </w:tc>
      </w:tr>
      <w:tr>
        <w:tc>
          <w:tcPr>
            <w:tcW w:type="dxa" w:w="1296"/>
          </w:tcPr>
          <w:p>
            <w:r>
              <w:rPr>
                <w:color w:val="999999"/>
                <w:sz w:val="16"/>
              </w:rPr>
              <w:t>prob-tag2</w:t>
            </w:r>
          </w:p>
        </w:tc>
        <w:tc>
          <w:tcPr>
            <w:tcW w:type="dxa" w:w="4176"/>
          </w:tcPr>
          <w:p>
            <w:r>
              <w:t>Typical delay risk</w:t>
            </w:r>
          </w:p>
        </w:tc>
        <w:tc>
          <w:tcPr>
            <w:tcW w:type="dxa" w:w="4176"/>
          </w:tcPr>
          <w:p>
            <w:r>
              <w:rPr>
                <w:sz w:val="22"/>
              </w:rPr>
              <w:t>Типичный риск задержки</w:t>
            </w:r>
          </w:p>
        </w:tc>
      </w:tr>
      <w:tr>
        <w:tc>
          <w:tcPr>
            <w:tcW w:type="dxa" w:w="1296"/>
          </w:tcPr>
          <w:p>
            <w:r>
              <w:rPr>
                <w:color w:val="999999"/>
                <w:sz w:val="16"/>
              </w:rPr>
              <w:t>prob-txt2</w:t>
            </w:r>
          </w:p>
        </w:tc>
        <w:tc>
          <w:tcPr>
            <w:tcW w:type="dxa" w:w="4176"/>
          </w:tcPr>
          <w:p>
            <w:r>
              <w:t>Without dedicated procurement oversight, interior projects average 4–6 months of slippage — directly eroding pre-opening revenues.</w:t>
            </w:r>
          </w:p>
        </w:tc>
        <w:tc>
          <w:tcPr>
            <w:tcW w:type="dxa" w:w="4176"/>
          </w:tcPr>
          <w:p>
            <w:r>
              <w:rPr>
                <w:sz w:val="22"/>
              </w:rPr>
              <w:t>Без надзора проекты задерживаются на 4–6 месяцев.</w:t>
            </w:r>
          </w:p>
        </w:tc>
      </w:tr>
      <w:tr>
        <w:tc>
          <w:tcPr>
            <w:tcW w:type="dxa" w:w="1296"/>
          </w:tcPr>
          <w:p>
            <w:r>
              <w:rPr>
                <w:color w:val="999999"/>
                <w:sz w:val="16"/>
              </w:rPr>
              <w:t>prob-tag3</w:t>
            </w:r>
          </w:p>
        </w:tc>
        <w:tc>
          <w:tcPr>
            <w:tcW w:type="dxa" w:w="4176"/>
          </w:tcPr>
          <w:p>
            <w:r>
              <w:t>Information gaps</w:t>
            </w:r>
          </w:p>
        </w:tc>
        <w:tc>
          <w:tcPr>
            <w:tcW w:type="dxa" w:w="4176"/>
          </w:tcPr>
          <w:p>
            <w:r>
              <w:rPr>
                <w:sz w:val="22"/>
              </w:rPr>
              <w:t>Информационные пробелы</w:t>
            </w:r>
          </w:p>
        </w:tc>
      </w:tr>
      <w:tr>
        <w:tc>
          <w:tcPr>
            <w:tcW w:type="dxa" w:w="1296"/>
          </w:tcPr>
          <w:p>
            <w:r>
              <w:rPr>
                <w:color w:val="999999"/>
                <w:sz w:val="16"/>
              </w:rPr>
              <w:t>prob-txt3</w:t>
            </w:r>
          </w:p>
        </w:tc>
        <w:tc>
          <w:tcPr>
            <w:tcW w:type="dxa" w:w="4176"/>
          </w:tcPr>
          <w:p>
            <w:r>
              <w:t>Owner, designer and contractor rarely share a single source of truth — creating costly misalignments throughout delivery.</w:t>
            </w:r>
          </w:p>
        </w:tc>
        <w:tc>
          <w:tcPr>
            <w:tcW w:type="dxa" w:w="4176"/>
          </w:tcPr>
          <w:p>
            <w:r>
              <w:rPr>
                <w:sz w:val="22"/>
              </w:rPr>
              <w:t>Владелец, дизайнер и подрядчик редко используют единый источник данных.</w:t>
            </w:r>
          </w:p>
        </w:tc>
      </w:tr>
    </w:tbl>
    <w:p>
      <w:pPr>
        <w:pStyle w:val="Heading1"/>
      </w:pPr>
      <w:r>
        <w:t>4 · I numeri</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stag-numbers</w:t>
            </w:r>
          </w:p>
        </w:tc>
        <w:tc>
          <w:tcPr>
            <w:tcW w:type="dxa" w:w="4176"/>
          </w:tcPr>
          <w:p>
            <w:r>
              <w:t>Our supplier network</w:t>
            </w:r>
          </w:p>
        </w:tc>
        <w:tc>
          <w:tcPr>
            <w:tcW w:type="dxa" w:w="4176"/>
          </w:tcPr>
          <w:p>
            <w:r>
              <w:rPr>
                <w:sz w:val="22"/>
              </w:rPr>
              <w:t>Наша сеть поставщиков</w:t>
            </w:r>
          </w:p>
        </w:tc>
      </w:tr>
      <w:tr>
        <w:tc>
          <w:tcPr>
            <w:tcW w:type="dxa" w:w="1296"/>
          </w:tcPr>
          <w:p>
            <w:r>
              <w:rPr>
                <w:color w:val="999999"/>
                <w:sz w:val="16"/>
              </w:rPr>
              <w:t>num-hl</w:t>
            </w:r>
          </w:p>
        </w:tc>
        <w:tc>
          <w:tcPr>
            <w:tcW w:type="dxa" w:w="4176"/>
          </w:tcPr>
          <w:p>
            <w:r>
              <w:t>Scale, quality&lt;br&gt;and track record&lt;br&gt;&lt;em&gt;by the numbers.&lt;/em&gt;</w:t>
            </w:r>
          </w:p>
        </w:tc>
        <w:tc>
          <w:tcPr>
            <w:tcW w:type="dxa" w:w="4176"/>
          </w:tcPr>
          <w:p>
            <w:r>
              <w:rPr>
                <w:sz w:val="22"/>
              </w:rPr>
              <w:t>Масштаб, качество&lt;br&gt;и опыт&lt;br&gt;&lt;em&gt;в цифрах.&lt;/em&gt;</w:t>
            </w:r>
          </w:p>
        </w:tc>
      </w:tr>
      <w:tr>
        <w:tc>
          <w:tcPr>
            <w:tcW w:type="dxa" w:w="1296"/>
          </w:tcPr>
          <w:p>
            <w:r>
              <w:rPr>
                <w:color w:val="999999"/>
                <w:sz w:val="16"/>
              </w:rPr>
              <w:t>nc-t1</w:t>
            </w:r>
          </w:p>
        </w:tc>
        <w:tc>
          <w:tcPr>
            <w:tcW w:type="dxa" w:w="4176"/>
          </w:tcPr>
          <w:p>
            <w:r>
              <w:t>Top-tier global clients</w:t>
            </w:r>
          </w:p>
        </w:tc>
        <w:tc>
          <w:tcPr>
            <w:tcW w:type="dxa" w:w="4176"/>
          </w:tcPr>
          <w:p>
            <w:r>
              <w:rPr>
                <w:sz w:val="22"/>
              </w:rPr>
              <w:t>Ведущие мировые клиенты</w:t>
            </w:r>
          </w:p>
        </w:tc>
      </w:tr>
      <w:tr>
        <w:tc>
          <w:tcPr>
            <w:tcW w:type="dxa" w:w="1296"/>
          </w:tcPr>
          <w:p>
            <w:r>
              <w:rPr>
                <w:color w:val="999999"/>
                <w:sz w:val="16"/>
              </w:rPr>
              <w:t>nc-d1</w:t>
            </w:r>
          </w:p>
        </w:tc>
        <w:tc>
          <w:tcPr>
            <w:tcW w:type="dxa" w:w="4176"/>
          </w:tcPr>
          <w:p>
            <w:r>
              <w:t>Strategic design &amp; supply projects</w:t>
            </w:r>
          </w:p>
        </w:tc>
        <w:tc>
          <w:tcPr>
            <w:tcW w:type="dxa" w:w="4176"/>
          </w:tcPr>
          <w:p>
            <w:r>
              <w:rPr>
                <w:sz w:val="22"/>
              </w:rPr>
              <w:t>Стратегический дизайн и поставки</w:t>
            </w:r>
          </w:p>
        </w:tc>
      </w:tr>
      <w:tr>
        <w:tc>
          <w:tcPr>
            <w:tcW w:type="dxa" w:w="1296"/>
          </w:tcPr>
          <w:p>
            <w:r>
              <w:rPr>
                <w:color w:val="999999"/>
                <w:sz w:val="16"/>
              </w:rPr>
              <w:t>nc-t2</w:t>
            </w:r>
          </w:p>
        </w:tc>
        <w:tc>
          <w:tcPr>
            <w:tcW w:type="dxa" w:w="4176"/>
          </w:tcPr>
          <w:p>
            <w:r>
              <w:t>International awards</w:t>
            </w:r>
          </w:p>
        </w:tc>
        <w:tc>
          <w:tcPr>
            <w:tcW w:type="dxa" w:w="4176"/>
          </w:tcPr>
          <w:p>
            <w:r>
              <w:rPr>
                <w:sz w:val="22"/>
              </w:rPr>
              <w:t>Международные награды</w:t>
            </w:r>
          </w:p>
        </w:tc>
      </w:tr>
      <w:tr>
        <w:tc>
          <w:tcPr>
            <w:tcW w:type="dxa" w:w="1296"/>
          </w:tcPr>
          <w:p>
            <w:r>
              <w:rPr>
                <w:color w:val="999999"/>
                <w:sz w:val="16"/>
              </w:rPr>
              <w:t>nc-d2</w:t>
            </w:r>
          </w:p>
        </w:tc>
        <w:tc>
          <w:tcPr>
            <w:tcW w:type="dxa" w:w="4176"/>
          </w:tcPr>
          <w:p>
            <w:r>
              <w:t>Across hospitality, retail &amp; brand</w:t>
            </w:r>
          </w:p>
        </w:tc>
        <w:tc>
          <w:tcPr>
            <w:tcW w:type="dxa" w:w="4176"/>
          </w:tcPr>
          <w:p>
            <w:r>
              <w:rPr>
                <w:sz w:val="22"/>
              </w:rPr>
              <w:t>Гостиничный, ритейл и бренды</w:t>
            </w:r>
          </w:p>
        </w:tc>
      </w:tr>
      <w:tr>
        <w:tc>
          <w:tcPr>
            <w:tcW w:type="dxa" w:w="1296"/>
          </w:tcPr>
          <w:p>
            <w:r>
              <w:rPr>
                <w:color w:val="999999"/>
                <w:sz w:val="16"/>
              </w:rPr>
              <w:t>nc-t3</w:t>
            </w:r>
          </w:p>
        </w:tc>
        <w:tc>
          <w:tcPr>
            <w:tcW w:type="dxa" w:w="4176"/>
          </w:tcPr>
          <w:p>
            <w:r>
              <w:t>Years of experience</w:t>
            </w:r>
          </w:p>
        </w:tc>
        <w:tc>
          <w:tcPr>
            <w:tcW w:type="dxa" w:w="4176"/>
          </w:tcPr>
          <w:p>
            <w:r>
              <w:rPr>
                <w:sz w:val="22"/>
              </w:rPr>
              <w:t>Лет опыта</w:t>
            </w:r>
          </w:p>
        </w:tc>
      </w:tr>
      <w:tr>
        <w:tc>
          <w:tcPr>
            <w:tcW w:type="dxa" w:w="1296"/>
          </w:tcPr>
          <w:p>
            <w:r>
              <w:rPr>
                <w:color w:val="999999"/>
                <w:sz w:val="16"/>
              </w:rPr>
              <w:t>nc-d3</w:t>
            </w:r>
          </w:p>
        </w:tc>
        <w:tc>
          <w:tcPr>
            <w:tcW w:type="dxa" w:w="4176"/>
          </w:tcPr>
          <w:p>
            <w:r>
              <w:t>Complex multi-sector projects</w:t>
            </w:r>
          </w:p>
        </w:tc>
        <w:tc>
          <w:tcPr>
            <w:tcW w:type="dxa" w:w="4176"/>
          </w:tcPr>
          <w:p>
            <w:r>
              <w:rPr>
                <w:sz w:val="22"/>
              </w:rPr>
              <w:t>Сложные многоотраслевые проекты</w:t>
            </w:r>
          </w:p>
        </w:tc>
      </w:tr>
      <w:tr>
        <w:tc>
          <w:tcPr>
            <w:tcW w:type="dxa" w:w="1296"/>
          </w:tcPr>
          <w:p>
            <w:r>
              <w:rPr>
                <w:color w:val="999999"/>
                <w:sz w:val="16"/>
              </w:rPr>
              <w:t>nc-t4</w:t>
            </w:r>
          </w:p>
        </w:tc>
        <w:tc>
          <w:tcPr>
            <w:tcW w:type="dxa" w:w="4176"/>
          </w:tcPr>
          <w:p>
            <w:r>
              <w:t>Documented savings — floor</w:t>
            </w:r>
          </w:p>
        </w:tc>
        <w:tc>
          <w:tcPr>
            <w:tcW w:type="dxa" w:w="4176"/>
          </w:tcPr>
          <w:p>
            <w:r>
              <w:rPr>
                <w:sz w:val="22"/>
              </w:rPr>
              <w:t>Экономия — минимум</w:t>
            </w:r>
          </w:p>
        </w:tc>
      </w:tr>
      <w:tr>
        <w:tc>
          <w:tcPr>
            <w:tcW w:type="dxa" w:w="1296"/>
          </w:tcPr>
          <w:p>
            <w:r>
              <w:rPr>
                <w:color w:val="999999"/>
                <w:sz w:val="16"/>
              </w:rPr>
              <w:t>nc-d4</w:t>
            </w:r>
          </w:p>
        </w:tc>
        <w:tc>
          <w:tcPr>
            <w:tcW w:type="dxa" w:w="4176"/>
          </w:tcPr>
          <w:p>
            <w:r>
              <w:t>On a single €6M project</w:t>
            </w:r>
          </w:p>
        </w:tc>
        <w:tc>
          <w:tcPr>
            <w:tcW w:type="dxa" w:w="4176"/>
          </w:tcPr>
          <w:p>
            <w:r>
              <w:rPr>
                <w:sz w:val="22"/>
              </w:rPr>
              <w:t>На одном проекте €6 млн</w:t>
            </w:r>
          </w:p>
        </w:tc>
      </w:tr>
      <w:tr>
        <w:tc>
          <w:tcPr>
            <w:tcW w:type="dxa" w:w="1296"/>
          </w:tcPr>
          <w:p>
            <w:r>
              <w:rPr>
                <w:color w:val="999999"/>
                <w:sz w:val="16"/>
              </w:rPr>
              <w:t>nc-t5</w:t>
            </w:r>
          </w:p>
        </w:tc>
        <w:tc>
          <w:tcPr>
            <w:tcW w:type="dxa" w:w="4176"/>
          </w:tcPr>
          <w:p>
            <w:r>
              <w:t>Documented savings — ceiling</w:t>
            </w:r>
          </w:p>
        </w:tc>
        <w:tc>
          <w:tcPr>
            <w:tcW w:type="dxa" w:w="4176"/>
          </w:tcPr>
          <w:p>
            <w:r>
              <w:rPr>
                <w:sz w:val="22"/>
              </w:rPr>
              <w:t>Экономия — максимум</w:t>
            </w:r>
          </w:p>
        </w:tc>
      </w:tr>
      <w:tr>
        <w:tc>
          <w:tcPr>
            <w:tcW w:type="dxa" w:w="1296"/>
          </w:tcPr>
          <w:p>
            <w:r>
              <w:rPr>
                <w:color w:val="999999"/>
                <w:sz w:val="16"/>
              </w:rPr>
              <w:t>nc-d5</w:t>
            </w:r>
          </w:p>
        </w:tc>
        <w:tc>
          <w:tcPr>
            <w:tcW w:type="dxa" w:w="4176"/>
          </w:tcPr>
          <w:p>
            <w:r>
              <w:t>Full-scope engagement</w:t>
            </w:r>
          </w:p>
        </w:tc>
        <w:tc>
          <w:tcPr>
            <w:tcW w:type="dxa" w:w="4176"/>
          </w:tcPr>
          <w:p>
            <w:r>
              <w:rPr>
                <w:sz w:val="22"/>
              </w:rPr>
              <w:t>Полный охват работ</w:t>
            </w:r>
          </w:p>
        </w:tc>
      </w:tr>
      <w:tr>
        <w:tc>
          <w:tcPr>
            <w:tcW w:type="dxa" w:w="1296"/>
          </w:tcPr>
          <w:p>
            <w:r>
              <w:rPr>
                <w:color w:val="999999"/>
                <w:sz w:val="16"/>
              </w:rPr>
              <w:t>nc-t6</w:t>
            </w:r>
          </w:p>
        </w:tc>
        <w:tc>
          <w:tcPr>
            <w:tcW w:type="dxa" w:w="4176"/>
          </w:tcPr>
          <w:p>
            <w:r>
              <w:t>Average tender savings</w:t>
            </w:r>
          </w:p>
        </w:tc>
        <w:tc>
          <w:tcPr>
            <w:tcW w:type="dxa" w:w="4176"/>
          </w:tcPr>
          <w:p>
            <w:r>
              <w:rPr>
                <w:sz w:val="22"/>
              </w:rPr>
              <w:t>Средняя экономия на тендере</w:t>
            </w:r>
          </w:p>
        </w:tc>
      </w:tr>
      <w:tr>
        <w:tc>
          <w:tcPr>
            <w:tcW w:type="dxa" w:w="1296"/>
          </w:tcPr>
          <w:p>
            <w:r>
              <w:rPr>
                <w:color w:val="999999"/>
                <w:sz w:val="16"/>
              </w:rPr>
              <w:t>nc-d6</w:t>
            </w:r>
          </w:p>
        </w:tc>
        <w:tc>
          <w:tcPr>
            <w:tcW w:type="dxa" w:w="4176"/>
          </w:tcPr>
          <w:p>
            <w:r>
              <w:t>On FF&amp;E contract value</w:t>
            </w:r>
          </w:p>
        </w:tc>
        <w:tc>
          <w:tcPr>
            <w:tcW w:type="dxa" w:w="4176"/>
          </w:tcPr>
          <w:p>
            <w:r>
              <w:rPr>
                <w:sz w:val="22"/>
              </w:rPr>
              <w:t>От стоимости контракта FF&amp;E</w:t>
            </w:r>
          </w:p>
        </w:tc>
      </w:tr>
    </w:tbl>
    <w:p>
      <w:pPr>
        <w:pStyle w:val="Heading1"/>
      </w:pPr>
      <w:r>
        <w:t>5 · Perché funziona</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stag-why</w:t>
            </w:r>
          </w:p>
        </w:tc>
        <w:tc>
          <w:tcPr>
            <w:tcW w:type="dxa" w:w="4176"/>
          </w:tcPr>
          <w:p>
            <w:r>
              <w:t>Why it works</w:t>
            </w:r>
          </w:p>
        </w:tc>
        <w:tc>
          <w:tcPr>
            <w:tcW w:type="dxa" w:w="4176"/>
          </w:tcPr>
          <w:p>
            <w:r>
              <w:rPr>
                <w:sz w:val="22"/>
              </w:rPr>
              <w:t>Почему это работает</w:t>
            </w:r>
          </w:p>
        </w:tc>
      </w:tr>
      <w:tr>
        <w:tc>
          <w:tcPr>
            <w:tcW w:type="dxa" w:w="1296"/>
          </w:tcPr>
          <w:p>
            <w:r>
              <w:rPr>
                <w:color w:val="999999"/>
                <w:sz w:val="16"/>
              </w:rPr>
              <w:t>wc-t1</w:t>
            </w:r>
          </w:p>
        </w:tc>
        <w:tc>
          <w:tcPr>
            <w:tcW w:type="dxa" w:w="4176"/>
          </w:tcPr>
          <w:p>
            <w:r>
              <w:t>One single point of contact</w:t>
            </w:r>
          </w:p>
        </w:tc>
        <w:tc>
          <w:tcPr>
            <w:tcW w:type="dxa" w:w="4176"/>
          </w:tcPr>
          <w:p>
            <w:r>
              <w:rPr>
                <w:sz w:val="22"/>
              </w:rPr>
              <w:t>Единая точка контакта</w:t>
            </w:r>
          </w:p>
        </w:tc>
      </w:tr>
      <w:tr>
        <w:tc>
          <w:tcPr>
            <w:tcW w:type="dxa" w:w="1296"/>
          </w:tcPr>
          <w:p>
            <w:r>
              <w:rPr>
                <w:color w:val="999999"/>
                <w:sz w:val="16"/>
              </w:rPr>
              <w:t>wc-b1</w:t>
            </w:r>
          </w:p>
        </w:tc>
        <w:tc>
          <w:tcPr>
            <w:tcW w:type="dxa" w:w="4176"/>
          </w:tcPr>
          <w:p>
            <w:r>
              <w:t>Eliminate fragmentation between owner, designer, contractor and supplier. &lt;em&gt;One control point.&lt;/em&gt; Everything converges.</w:t>
            </w:r>
          </w:p>
        </w:tc>
        <w:tc>
          <w:tcPr>
            <w:tcW w:type="dxa" w:w="4176"/>
          </w:tcPr>
          <w:p>
            <w:r>
              <w:rPr>
                <w:sz w:val="22"/>
              </w:rPr>
              <w:t>Устраните фрагментацию между всеми участниками. &lt;em&gt;Одна точка контроля.&lt;/em&gt;</w:t>
            </w:r>
          </w:p>
        </w:tc>
      </w:tr>
      <w:tr>
        <w:tc>
          <w:tcPr>
            <w:tcW w:type="dxa" w:w="1296"/>
          </w:tcPr>
          <w:p>
            <w:r>
              <w:rPr>
                <w:color w:val="999999"/>
                <w:sz w:val="16"/>
              </w:rPr>
              <w:t>wc-t2</w:t>
            </w:r>
          </w:p>
        </w:tc>
        <w:tc>
          <w:tcPr>
            <w:tcW w:type="dxa" w:w="4176"/>
          </w:tcPr>
          <w:p>
            <w:r>
              <w:t>Qualified Italian Suppliers</w:t>
            </w:r>
          </w:p>
        </w:tc>
        <w:tc>
          <w:tcPr>
            <w:tcW w:type="dxa" w:w="4176"/>
          </w:tcPr>
          <w:p>
            <w:r>
              <w:rPr>
                <w:sz w:val="22"/>
              </w:rPr>
              <w:t>Квалифицированные поставщики</w:t>
            </w:r>
          </w:p>
        </w:tc>
      </w:tr>
      <w:tr>
        <w:tc>
          <w:tcPr>
            <w:tcW w:type="dxa" w:w="1296"/>
          </w:tcPr>
          <w:p>
            <w:r>
              <w:rPr>
                <w:color w:val="999999"/>
                <w:sz w:val="16"/>
              </w:rPr>
              <w:t>wc-b2</w:t>
            </w:r>
          </w:p>
        </w:tc>
        <w:tc>
          <w:tcPr>
            <w:tcW w:type="dxa" w:w="4176"/>
          </w:tcPr>
          <w:p>
            <w:r>
              <w:t>Direct access to a pre-selected panel of Italian manufacturers. &lt;em&gt;Certified quality,&lt;/em&gt; real lead times, no surprises.</w:t>
            </w:r>
          </w:p>
        </w:tc>
        <w:tc>
          <w:tcPr>
            <w:tcW w:type="dxa" w:w="4176"/>
          </w:tcPr>
          <w:p>
            <w:r>
              <w:rPr>
                <w:sz w:val="22"/>
              </w:rPr>
              <w:t>Прямой доступ к итальянским производителям. &lt;em&gt;Сертифицированное качество.&lt;/em&gt;</w:t>
            </w:r>
          </w:p>
        </w:tc>
      </w:tr>
      <w:tr>
        <w:tc>
          <w:tcPr>
            <w:tcW w:type="dxa" w:w="1296"/>
          </w:tcPr>
          <w:p>
            <w:r>
              <w:rPr>
                <w:color w:val="999999"/>
                <w:sz w:val="16"/>
              </w:rPr>
              <w:t>wc-t3</w:t>
            </w:r>
          </w:p>
        </w:tc>
        <w:tc>
          <w:tcPr>
            <w:tcW w:type="dxa" w:w="4176"/>
          </w:tcPr>
          <w:p>
            <w:r>
              <w:t>Competitive Tendering</w:t>
            </w:r>
          </w:p>
        </w:tc>
        <w:tc>
          <w:tcPr>
            <w:tcW w:type="dxa" w:w="4176"/>
          </w:tcPr>
          <w:p>
            <w:r>
              <w:rPr>
                <w:sz w:val="22"/>
              </w:rPr>
              <w:t>Конкурентные тендеры</w:t>
            </w:r>
          </w:p>
        </w:tc>
      </w:tr>
      <w:tr>
        <w:tc>
          <w:tcPr>
            <w:tcW w:type="dxa" w:w="1296"/>
          </w:tcPr>
          <w:p>
            <w:r>
              <w:rPr>
                <w:color w:val="999999"/>
                <w:sz w:val="16"/>
              </w:rPr>
              <w:t>wc-b3</w:t>
            </w:r>
          </w:p>
        </w:tc>
        <w:tc>
          <w:tcPr>
            <w:tcW w:type="dxa" w:w="4176"/>
          </w:tcPr>
          <w:p>
            <w:r>
              <w:t>Structured tenders with like-for-like comparison. &lt;em&gt;Average 8–15% savings&lt;/em&gt; on FF&amp;E contract value.</w:t>
            </w:r>
          </w:p>
        </w:tc>
        <w:tc>
          <w:tcPr>
            <w:tcW w:type="dxa" w:w="4176"/>
          </w:tcPr>
          <w:p>
            <w:r>
              <w:rPr>
                <w:sz w:val="22"/>
              </w:rPr>
              <w:t>Структурированные тендеры. &lt;em&gt;Средняя экономия 8–15%&lt;/em&gt;.</w:t>
            </w:r>
          </w:p>
        </w:tc>
      </w:tr>
      <w:tr>
        <w:tc>
          <w:tcPr>
            <w:tcW w:type="dxa" w:w="1296"/>
          </w:tcPr>
          <w:p>
            <w:r>
              <w:rPr>
                <w:color w:val="999999"/>
                <w:sz w:val="16"/>
              </w:rPr>
              <w:t>wc-t4</w:t>
            </w:r>
          </w:p>
        </w:tc>
        <w:tc>
          <w:tcPr>
            <w:tcW w:type="dxa" w:w="4176"/>
          </w:tcPr>
          <w:p>
            <w:r>
              <w:t>Real-time Budget Control</w:t>
            </w:r>
          </w:p>
        </w:tc>
        <w:tc>
          <w:tcPr>
            <w:tcW w:type="dxa" w:w="4176"/>
          </w:tcPr>
          <w:p>
            <w:r>
              <w:rPr>
                <w:sz w:val="22"/>
              </w:rPr>
              <w:t>Контроль бюджета в реальном времени</w:t>
            </w:r>
          </w:p>
        </w:tc>
      </w:tr>
      <w:tr>
        <w:tc>
          <w:tcPr>
            <w:tcW w:type="dxa" w:w="1296"/>
          </w:tcPr>
          <w:p>
            <w:r>
              <w:rPr>
                <w:color w:val="999999"/>
                <w:sz w:val="16"/>
              </w:rPr>
              <w:t>wc-b4</w:t>
            </w:r>
          </w:p>
        </w:tc>
        <w:tc>
          <w:tcPr>
            <w:tcW w:type="dxa" w:w="4176"/>
          </w:tcPr>
          <w:p>
            <w:r>
              <w:t>Continuous tracking against approved specifications. &lt;em&gt;No unexpected overrun.&lt;/em&gt; Change orders managed before they become problems.</w:t>
            </w:r>
          </w:p>
        </w:tc>
        <w:tc>
          <w:tcPr>
            <w:tcW w:type="dxa" w:w="4176"/>
          </w:tcPr>
          <w:p>
            <w:r>
              <w:rPr>
                <w:sz w:val="22"/>
              </w:rPr>
              <w:t>Постоянный мониторинг. &lt;em&gt;Никаких неожиданных перерасходов.&lt;/em&gt;</w:t>
            </w:r>
          </w:p>
        </w:tc>
      </w:tr>
      <w:tr>
        <w:tc>
          <w:tcPr>
            <w:tcW w:type="dxa" w:w="1296"/>
          </w:tcPr>
          <w:p>
            <w:r>
              <w:rPr>
                <w:color w:val="999999"/>
                <w:sz w:val="16"/>
              </w:rPr>
              <w:t>wc-t5</w:t>
            </w:r>
          </w:p>
        </w:tc>
        <w:tc>
          <w:tcPr>
            <w:tcW w:type="dxa" w:w="4176"/>
          </w:tcPr>
          <w:p>
            <w:r>
              <w:t>Owner's Representative</w:t>
            </w:r>
          </w:p>
        </w:tc>
        <w:tc>
          <w:tcPr>
            <w:tcW w:type="dxa" w:w="4176"/>
          </w:tcPr>
          <w:p>
            <w:r>
              <w:rPr>
                <w:sz w:val="22"/>
              </w:rPr>
              <w:t>Представитель владельца</w:t>
            </w:r>
          </w:p>
        </w:tc>
      </w:tr>
      <w:tr>
        <w:tc>
          <w:tcPr>
            <w:tcW w:type="dxa" w:w="1296"/>
          </w:tcPr>
          <w:p>
            <w:r>
              <w:rPr>
                <w:color w:val="999999"/>
                <w:sz w:val="16"/>
              </w:rPr>
              <w:t>wc-b5</w:t>
            </w:r>
          </w:p>
        </w:tc>
        <w:tc>
          <w:tcPr>
            <w:tcW w:type="dxa" w:w="4176"/>
          </w:tcPr>
          <w:p>
            <w:r>
              <w:t>Your eyes and voice on every site visit and supplier negotiation. &lt;em&gt;Protection of the client's interests&lt;/em&gt; at every stage.</w:t>
            </w:r>
          </w:p>
        </w:tc>
        <w:tc>
          <w:tcPr>
            <w:tcW w:type="dxa" w:w="4176"/>
          </w:tcPr>
          <w:p>
            <w:r>
              <w:rPr>
                <w:sz w:val="22"/>
              </w:rPr>
              <w:t>Ваши глаза и голос на каждой встрече. &lt;em&gt;Защита интересов клиента.&lt;/em&gt;</w:t>
            </w:r>
          </w:p>
        </w:tc>
      </w:tr>
      <w:tr>
        <w:tc>
          <w:tcPr>
            <w:tcW w:type="dxa" w:w="1296"/>
          </w:tcPr>
          <w:p>
            <w:r>
              <w:rPr>
                <w:color w:val="999999"/>
                <w:sz w:val="16"/>
              </w:rPr>
              <w:t>wc-t6</w:t>
            </w:r>
          </w:p>
        </w:tc>
        <w:tc>
          <w:tcPr>
            <w:tcW w:type="dxa" w:w="4176"/>
          </w:tcPr>
          <w:p>
            <w:r>
              <w:t>Integrated Technical Expertise</w:t>
            </w:r>
          </w:p>
        </w:tc>
        <w:tc>
          <w:tcPr>
            <w:tcW w:type="dxa" w:w="4176"/>
          </w:tcPr>
          <w:p>
            <w:r>
              <w:rPr>
                <w:sz w:val="22"/>
              </w:rPr>
              <w:t>Техническая экспертиза</w:t>
            </w:r>
          </w:p>
        </w:tc>
      </w:tr>
      <w:tr>
        <w:tc>
          <w:tcPr>
            <w:tcW w:type="dxa" w:w="1296"/>
          </w:tcPr>
          <w:p>
            <w:r>
              <w:rPr>
                <w:color w:val="999999"/>
                <w:sz w:val="16"/>
              </w:rPr>
              <w:t>wc-b6</w:t>
            </w:r>
          </w:p>
        </w:tc>
        <w:tc>
          <w:tcPr>
            <w:tcW w:type="dxa" w:w="4176"/>
          </w:tcPr>
          <w:p>
            <w:r>
              <w:t>Drawing package review, MEP coordination, regulatory compliance. &lt;em&gt;What is designed&lt;/em&gt; is what gets built.</w:t>
            </w:r>
          </w:p>
        </w:tc>
        <w:tc>
          <w:tcPr>
            <w:tcW w:type="dxa" w:w="4176"/>
          </w:tcPr>
          <w:p>
            <w:r>
              <w:rPr>
                <w:sz w:val="22"/>
              </w:rPr>
              <w:t>Проверка чертежей, координация MEP. &lt;em&gt;Что спроектировано&lt;/em&gt; — то и построено.</w:t>
            </w:r>
          </w:p>
        </w:tc>
      </w:tr>
    </w:tbl>
    <w:p>
      <w:pPr>
        <w:pStyle w:val="Heading1"/>
      </w:pPr>
      <w:r>
        <w:t>6 · Cosa facciamo</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stag-what</w:t>
            </w:r>
          </w:p>
        </w:tc>
        <w:tc>
          <w:tcPr>
            <w:tcW w:type="dxa" w:w="4176"/>
          </w:tcPr>
          <w:p>
            <w:r>
              <w:t>What we do</w:t>
            </w:r>
          </w:p>
        </w:tc>
        <w:tc>
          <w:tcPr>
            <w:tcW w:type="dxa" w:w="4176"/>
          </w:tcPr>
          <w:p>
            <w:r>
              <w:rPr>
                <w:sz w:val="22"/>
              </w:rPr>
              <w:t>Что мы делаем</w:t>
            </w:r>
          </w:p>
        </w:tc>
      </w:tr>
      <w:tr>
        <w:tc>
          <w:tcPr>
            <w:tcW w:type="dxa" w:w="1296"/>
          </w:tcPr>
          <w:p>
            <w:r>
              <w:rPr>
                <w:color w:val="999999"/>
                <w:sz w:val="16"/>
              </w:rPr>
              <w:t>sol-hl</w:t>
            </w:r>
          </w:p>
        </w:tc>
        <w:tc>
          <w:tcPr>
            <w:tcW w:type="dxa" w:w="4176"/>
          </w:tcPr>
          <w:p>
            <w:r>
              <w:t>From vision&lt;br&gt;to &lt;em&gt;delivery.&lt;/em&gt;</w:t>
            </w:r>
          </w:p>
        </w:tc>
        <w:tc>
          <w:tcPr>
            <w:tcW w:type="dxa" w:w="4176"/>
          </w:tcPr>
          <w:p>
            <w:r>
              <w:rPr>
                <w:sz w:val="22"/>
              </w:rPr>
              <w:t>От концепции&lt;br&gt;до &lt;em&gt;реализации.&lt;/em&gt;</w:t>
            </w:r>
          </w:p>
        </w:tc>
      </w:tr>
      <w:tr>
        <w:tc>
          <w:tcPr>
            <w:tcW w:type="dxa" w:w="1296"/>
          </w:tcPr>
          <w:p>
            <w:r>
              <w:rPr>
                <w:color w:val="999999"/>
                <w:sz w:val="16"/>
              </w:rPr>
              <w:t>sol-1</w:t>
            </w:r>
          </w:p>
        </w:tc>
        <w:tc>
          <w:tcPr>
            <w:tcW w:type="dxa" w:w="4176"/>
          </w:tcPr>
          <w:p>
            <w:r>
              <w:t>Turnkey delivery</w:t>
            </w:r>
          </w:p>
        </w:tc>
        <w:tc>
          <w:tcPr>
            <w:tcW w:type="dxa" w:w="4176"/>
          </w:tcPr>
          <w:p>
            <w:r>
              <w:rPr>
                <w:sz w:val="22"/>
              </w:rPr>
              <w:t>Поставка «под ключ»</w:t>
            </w:r>
          </w:p>
        </w:tc>
      </w:tr>
      <w:tr>
        <w:tc>
          <w:tcPr>
            <w:tcW w:type="dxa" w:w="1296"/>
          </w:tcPr>
          <w:p>
            <w:r>
              <w:rPr>
                <w:color w:val="999999"/>
                <w:sz w:val="16"/>
              </w:rPr>
              <w:t>sol-2</w:t>
            </w:r>
          </w:p>
        </w:tc>
        <w:tc>
          <w:tcPr>
            <w:tcW w:type="dxa" w:w="4176"/>
          </w:tcPr>
          <w:p>
            <w:r>
              <w:t>Italian supplier aggregation</w:t>
            </w:r>
          </w:p>
        </w:tc>
        <w:tc>
          <w:tcPr>
            <w:tcW w:type="dxa" w:w="4176"/>
          </w:tcPr>
          <w:p>
            <w:r>
              <w:rPr>
                <w:sz w:val="22"/>
              </w:rPr>
              <w:t>Агрегация итальянских поставщиков</w:t>
            </w:r>
          </w:p>
        </w:tc>
      </w:tr>
      <w:tr>
        <w:tc>
          <w:tcPr>
            <w:tcW w:type="dxa" w:w="1296"/>
          </w:tcPr>
          <w:p>
            <w:r>
              <w:rPr>
                <w:color w:val="999999"/>
                <w:sz w:val="16"/>
              </w:rPr>
              <w:t>sol-3</w:t>
            </w:r>
          </w:p>
        </w:tc>
        <w:tc>
          <w:tcPr>
            <w:tcW w:type="dxa" w:w="4176"/>
          </w:tcPr>
          <w:p>
            <w:r>
              <w:t>Supply Chain Management</w:t>
            </w:r>
          </w:p>
        </w:tc>
        <w:tc>
          <w:tcPr>
            <w:tcW w:type="dxa" w:w="4176"/>
          </w:tcPr>
          <w:p>
            <w:r>
              <w:rPr>
                <w:sz w:val="22"/>
              </w:rPr>
              <w:t>Управление цепочкой поставок</w:t>
            </w:r>
          </w:p>
        </w:tc>
      </w:tr>
      <w:tr>
        <w:tc>
          <w:tcPr>
            <w:tcW w:type="dxa" w:w="1296"/>
          </w:tcPr>
          <w:p>
            <w:r>
              <w:rPr>
                <w:color w:val="999999"/>
                <w:sz w:val="16"/>
              </w:rPr>
              <w:t>sol-4</w:t>
            </w:r>
          </w:p>
        </w:tc>
        <w:tc>
          <w:tcPr>
            <w:tcW w:type="dxa" w:w="4176"/>
          </w:tcPr>
          <w:p>
            <w:r>
              <w:t>FF&amp;E Procurement &amp; Tender</w:t>
            </w:r>
          </w:p>
        </w:tc>
        <w:tc>
          <w:tcPr>
            <w:tcW w:type="dxa" w:w="4176"/>
          </w:tcPr>
          <w:p>
            <w:r>
              <w:rPr>
                <w:sz w:val="22"/>
              </w:rPr>
              <w:t>Закупки и тендер FF&amp;E</w:t>
            </w:r>
          </w:p>
        </w:tc>
      </w:tr>
      <w:tr>
        <w:tc>
          <w:tcPr>
            <w:tcW w:type="dxa" w:w="1296"/>
          </w:tcPr>
          <w:p>
            <w:r>
              <w:rPr>
                <w:color w:val="999999"/>
                <w:sz w:val="16"/>
              </w:rPr>
              <w:t>sol-5</w:t>
            </w:r>
          </w:p>
        </w:tc>
        <w:tc>
          <w:tcPr>
            <w:tcW w:type="dxa" w:w="4176"/>
          </w:tcPr>
          <w:p>
            <w:r>
              <w:t>Development, Design Refinement, Cost Engineering</w:t>
            </w:r>
          </w:p>
        </w:tc>
        <w:tc>
          <w:tcPr>
            <w:tcW w:type="dxa" w:w="4176"/>
          </w:tcPr>
          <w:p>
            <w:r>
              <w:rPr>
                <w:sz w:val="22"/>
              </w:rPr>
              <w:t>Разработка, доработка дизайна, инженерия стоимости</w:t>
            </w:r>
          </w:p>
        </w:tc>
      </w:tr>
      <w:tr>
        <w:tc>
          <w:tcPr>
            <w:tcW w:type="dxa" w:w="1296"/>
          </w:tcPr>
          <w:p>
            <w:r>
              <w:rPr>
                <w:color w:val="999999"/>
                <w:sz w:val="16"/>
              </w:rPr>
              <w:t>sol-6</w:t>
            </w:r>
          </w:p>
        </w:tc>
        <w:tc>
          <w:tcPr>
            <w:tcW w:type="dxa" w:w="4176"/>
          </w:tcPr>
          <w:p>
            <w:r>
              <w:t>Cost Compliance Design</w:t>
            </w:r>
          </w:p>
        </w:tc>
        <w:tc>
          <w:tcPr>
            <w:tcW w:type="dxa" w:w="4176"/>
          </w:tcPr>
          <w:p>
            <w:r>
              <w:rPr>
                <w:sz w:val="22"/>
              </w:rPr>
              <w:t>Проектирование с соблюдением бюджета</w:t>
            </w:r>
          </w:p>
        </w:tc>
      </w:tr>
    </w:tbl>
    <w:p>
      <w:pPr>
        <w:pStyle w:val="Heading1"/>
      </w:pPr>
      <w:r>
        <w:t>7 · Processo</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pr-t1</w:t>
            </w:r>
          </w:p>
        </w:tc>
        <w:tc>
          <w:tcPr>
            <w:tcW w:type="dxa" w:w="4176"/>
          </w:tcPr>
          <w:p>
            <w:r>
              <w:t>Intake &amp; Audit</w:t>
            </w:r>
          </w:p>
        </w:tc>
        <w:tc>
          <w:tcPr>
            <w:tcW w:type="dxa" w:w="4176"/>
          </w:tcPr>
          <w:p>
            <w:r>
              <w:rPr>
                <w:sz w:val="22"/>
              </w:rPr>
              <w:t>Приём и аудит</w:t>
            </w:r>
          </w:p>
        </w:tc>
      </w:tr>
      <w:tr>
        <w:tc>
          <w:tcPr>
            <w:tcW w:type="dxa" w:w="1296"/>
          </w:tcPr>
          <w:p>
            <w:r>
              <w:rPr>
                <w:color w:val="999999"/>
                <w:sz w:val="16"/>
              </w:rPr>
              <w:t>pr-i1a</w:t>
            </w:r>
          </w:p>
        </w:tc>
        <w:tc>
          <w:tcPr>
            <w:tcW w:type="dxa" w:w="4176"/>
          </w:tcPr>
          <w:p>
            <w:r>
              <w:t>Documentation review</w:t>
            </w:r>
          </w:p>
        </w:tc>
        <w:tc>
          <w:tcPr>
            <w:tcW w:type="dxa" w:w="4176"/>
          </w:tcPr>
          <w:p>
            <w:r>
              <w:rPr>
                <w:sz w:val="22"/>
              </w:rPr>
              <w:t>Анализ документации</w:t>
            </w:r>
          </w:p>
        </w:tc>
      </w:tr>
      <w:tr>
        <w:tc>
          <w:tcPr>
            <w:tcW w:type="dxa" w:w="1296"/>
          </w:tcPr>
          <w:p>
            <w:r>
              <w:rPr>
                <w:color w:val="999999"/>
                <w:sz w:val="16"/>
              </w:rPr>
              <w:t>pr-i1b</w:t>
            </w:r>
          </w:p>
        </w:tc>
        <w:tc>
          <w:tcPr>
            <w:tcW w:type="dxa" w:w="4176"/>
          </w:tcPr>
          <w:p>
            <w:r>
              <w:t>Budget gap analysis</w:t>
            </w:r>
          </w:p>
        </w:tc>
        <w:tc>
          <w:tcPr>
            <w:tcW w:type="dxa" w:w="4176"/>
          </w:tcPr>
          <w:p>
            <w:r>
              <w:rPr>
                <w:sz w:val="22"/>
              </w:rPr>
              <w:t>Анализ бюджетных пробелов</w:t>
            </w:r>
          </w:p>
        </w:tc>
      </w:tr>
      <w:tr>
        <w:tc>
          <w:tcPr>
            <w:tcW w:type="dxa" w:w="1296"/>
          </w:tcPr>
          <w:p>
            <w:r>
              <w:rPr>
                <w:color w:val="999999"/>
                <w:sz w:val="16"/>
              </w:rPr>
              <w:t>pr-i1c</w:t>
            </w:r>
          </w:p>
        </w:tc>
        <w:tc>
          <w:tcPr>
            <w:tcW w:type="dxa" w:w="4176"/>
          </w:tcPr>
          <w:p>
            <w:r>
              <w:t>Risk mapping</w:t>
            </w:r>
          </w:p>
        </w:tc>
        <w:tc>
          <w:tcPr>
            <w:tcW w:type="dxa" w:w="4176"/>
          </w:tcPr>
          <w:p>
            <w:r>
              <w:rPr>
                <w:sz w:val="22"/>
              </w:rPr>
              <w:t>Картирование рисков</w:t>
            </w:r>
          </w:p>
        </w:tc>
      </w:tr>
      <w:tr>
        <w:tc>
          <w:tcPr>
            <w:tcW w:type="dxa" w:w="1296"/>
          </w:tcPr>
          <w:p>
            <w:r>
              <w:rPr>
                <w:color w:val="999999"/>
                <w:sz w:val="16"/>
              </w:rPr>
              <w:t>pr-i1d</w:t>
            </w:r>
          </w:p>
        </w:tc>
        <w:tc>
          <w:tcPr>
            <w:tcW w:type="dxa" w:w="4176"/>
          </w:tcPr>
          <w:p>
            <w:r>
              <w:t>Opportunity identification</w:t>
            </w:r>
          </w:p>
        </w:tc>
        <w:tc>
          <w:tcPr>
            <w:tcW w:type="dxa" w:w="4176"/>
          </w:tcPr>
          <w:p>
            <w:r>
              <w:rPr>
                <w:sz w:val="22"/>
              </w:rPr>
              <w:t>Выявление возможностей</w:t>
            </w:r>
          </w:p>
        </w:tc>
      </w:tr>
      <w:tr>
        <w:tc>
          <w:tcPr>
            <w:tcW w:type="dxa" w:w="1296"/>
          </w:tcPr>
          <w:p>
            <w:r>
              <w:rPr>
                <w:color w:val="999999"/>
                <w:sz w:val="16"/>
              </w:rPr>
              <w:t>pr-t2</w:t>
            </w:r>
          </w:p>
        </w:tc>
        <w:tc>
          <w:tcPr>
            <w:tcW w:type="dxa" w:w="4176"/>
          </w:tcPr>
          <w:p>
            <w:r>
              <w:t>Tender &amp; Qualification</w:t>
            </w:r>
          </w:p>
        </w:tc>
        <w:tc>
          <w:tcPr>
            <w:tcW w:type="dxa" w:w="4176"/>
          </w:tcPr>
          <w:p>
            <w:r>
              <w:rPr>
                <w:sz w:val="22"/>
              </w:rPr>
              <w:t>Тендер и квалификация</w:t>
            </w:r>
          </w:p>
        </w:tc>
      </w:tr>
      <w:tr>
        <w:tc>
          <w:tcPr>
            <w:tcW w:type="dxa" w:w="1296"/>
          </w:tcPr>
          <w:p>
            <w:r>
              <w:rPr>
                <w:color w:val="999999"/>
                <w:sz w:val="16"/>
              </w:rPr>
              <w:t>pr-i2a</w:t>
            </w:r>
          </w:p>
        </w:tc>
        <w:tc>
          <w:tcPr>
            <w:tcW w:type="dxa" w:w="4176"/>
          </w:tcPr>
          <w:p>
            <w:r>
              <w:t>Competitive tender</w:t>
            </w:r>
          </w:p>
        </w:tc>
        <w:tc>
          <w:tcPr>
            <w:tcW w:type="dxa" w:w="4176"/>
          </w:tcPr>
          <w:p>
            <w:r>
              <w:rPr>
                <w:sz w:val="22"/>
              </w:rPr>
              <w:t>Конкурентный тендер</w:t>
            </w:r>
          </w:p>
        </w:tc>
      </w:tr>
      <w:tr>
        <w:tc>
          <w:tcPr>
            <w:tcW w:type="dxa" w:w="1296"/>
          </w:tcPr>
          <w:p>
            <w:r>
              <w:rPr>
                <w:color w:val="999999"/>
                <w:sz w:val="16"/>
              </w:rPr>
              <w:t>pr-i2b</w:t>
            </w:r>
          </w:p>
        </w:tc>
        <w:tc>
          <w:tcPr>
            <w:tcW w:type="dxa" w:w="4176"/>
          </w:tcPr>
          <w:p>
            <w:r>
              <w:t>Supplier qualification</w:t>
            </w:r>
          </w:p>
        </w:tc>
        <w:tc>
          <w:tcPr>
            <w:tcW w:type="dxa" w:w="4176"/>
          </w:tcPr>
          <w:p>
            <w:r>
              <w:rPr>
                <w:sz w:val="22"/>
              </w:rPr>
              <w:t>Квалификация поставщиков</w:t>
            </w:r>
          </w:p>
        </w:tc>
      </w:tr>
      <w:tr>
        <w:tc>
          <w:tcPr>
            <w:tcW w:type="dxa" w:w="1296"/>
          </w:tcPr>
          <w:p>
            <w:r>
              <w:rPr>
                <w:color w:val="999999"/>
                <w:sz w:val="16"/>
              </w:rPr>
              <w:t>pr-i2c</w:t>
            </w:r>
          </w:p>
        </w:tc>
        <w:tc>
          <w:tcPr>
            <w:tcW w:type="dxa" w:w="4176"/>
          </w:tcPr>
          <w:p>
            <w:r>
              <w:t>Like-for-like comparison</w:t>
            </w:r>
          </w:p>
        </w:tc>
        <w:tc>
          <w:tcPr>
            <w:tcW w:type="dxa" w:w="4176"/>
          </w:tcPr>
          <w:p>
            <w:r>
              <w:rPr>
                <w:sz w:val="22"/>
              </w:rPr>
              <w:t>Сопоставимое сравнение</w:t>
            </w:r>
          </w:p>
        </w:tc>
      </w:tr>
      <w:tr>
        <w:tc>
          <w:tcPr>
            <w:tcW w:type="dxa" w:w="1296"/>
          </w:tcPr>
          <w:p>
            <w:r>
              <w:rPr>
                <w:color w:val="999999"/>
                <w:sz w:val="16"/>
              </w:rPr>
              <w:t>pr-i2d</w:t>
            </w:r>
          </w:p>
        </w:tc>
        <w:tc>
          <w:tcPr>
            <w:tcW w:type="dxa" w:w="4176"/>
          </w:tcPr>
          <w:p>
            <w:r>
              <w:t>Panel selection</w:t>
            </w:r>
          </w:p>
        </w:tc>
        <w:tc>
          <w:tcPr>
            <w:tcW w:type="dxa" w:w="4176"/>
          </w:tcPr>
          <w:p>
            <w:r>
              <w:rPr>
                <w:sz w:val="22"/>
              </w:rPr>
              <w:t>Отбор поставщиков</w:t>
            </w:r>
          </w:p>
        </w:tc>
      </w:tr>
      <w:tr>
        <w:tc>
          <w:tcPr>
            <w:tcW w:type="dxa" w:w="1296"/>
          </w:tcPr>
          <w:p>
            <w:r>
              <w:rPr>
                <w:color w:val="999999"/>
                <w:sz w:val="16"/>
              </w:rPr>
              <w:t>pr-t3</w:t>
            </w:r>
          </w:p>
        </w:tc>
        <w:tc>
          <w:tcPr>
            <w:tcW w:type="dxa" w:w="4176"/>
          </w:tcPr>
          <w:p>
            <w:r>
              <w:t>Contract Lock</w:t>
            </w:r>
          </w:p>
        </w:tc>
        <w:tc>
          <w:tcPr>
            <w:tcW w:type="dxa" w:w="4176"/>
          </w:tcPr>
          <w:p>
            <w:r>
              <w:rPr>
                <w:sz w:val="22"/>
              </w:rPr>
              <w:t>Фиксация контракта</w:t>
            </w:r>
          </w:p>
        </w:tc>
      </w:tr>
      <w:tr>
        <w:tc>
          <w:tcPr>
            <w:tcW w:type="dxa" w:w="1296"/>
          </w:tcPr>
          <w:p>
            <w:r>
              <w:rPr>
                <w:color w:val="999999"/>
                <w:sz w:val="16"/>
              </w:rPr>
              <w:t>pr-i3a</w:t>
            </w:r>
          </w:p>
        </w:tc>
        <w:tc>
          <w:tcPr>
            <w:tcW w:type="dxa" w:w="4176"/>
          </w:tcPr>
          <w:p>
            <w:r>
              <w:t>Scope review</w:t>
            </w:r>
          </w:p>
        </w:tc>
        <w:tc>
          <w:tcPr>
            <w:tcW w:type="dxa" w:w="4176"/>
          </w:tcPr>
          <w:p>
            <w:r>
              <w:rPr>
                <w:sz w:val="22"/>
              </w:rPr>
              <w:t>Проверка объёма</w:t>
            </w:r>
          </w:p>
        </w:tc>
      </w:tr>
      <w:tr>
        <w:tc>
          <w:tcPr>
            <w:tcW w:type="dxa" w:w="1296"/>
          </w:tcPr>
          <w:p>
            <w:r>
              <w:rPr>
                <w:color w:val="999999"/>
                <w:sz w:val="16"/>
              </w:rPr>
              <w:t>pr-i3b</w:t>
            </w:r>
          </w:p>
        </w:tc>
        <w:tc>
          <w:tcPr>
            <w:tcW w:type="dxa" w:w="4176"/>
          </w:tcPr>
          <w:p>
            <w:r>
              <w:t>Milestone triggers</w:t>
            </w:r>
          </w:p>
        </w:tc>
        <w:tc>
          <w:tcPr>
            <w:tcW w:type="dxa" w:w="4176"/>
          </w:tcPr>
          <w:p>
            <w:r>
              <w:rPr>
                <w:sz w:val="22"/>
              </w:rPr>
              <w:t>Триггеры вех</w:t>
            </w:r>
          </w:p>
        </w:tc>
      </w:tr>
      <w:tr>
        <w:tc>
          <w:tcPr>
            <w:tcW w:type="dxa" w:w="1296"/>
          </w:tcPr>
          <w:p>
            <w:r>
              <w:rPr>
                <w:color w:val="999999"/>
                <w:sz w:val="16"/>
              </w:rPr>
              <w:t>pr-i3c</w:t>
            </w:r>
          </w:p>
        </w:tc>
        <w:tc>
          <w:tcPr>
            <w:tcW w:type="dxa" w:w="4176"/>
          </w:tcPr>
          <w:p>
            <w:r>
              <w:t>Penalty structures</w:t>
            </w:r>
          </w:p>
        </w:tc>
        <w:tc>
          <w:tcPr>
            <w:tcW w:type="dxa" w:w="4176"/>
          </w:tcPr>
          <w:p>
            <w:r>
              <w:rPr>
                <w:sz w:val="22"/>
              </w:rPr>
              <w:t>Штрафные структуры</w:t>
            </w:r>
          </w:p>
        </w:tc>
      </w:tr>
      <w:tr>
        <w:tc>
          <w:tcPr>
            <w:tcW w:type="dxa" w:w="1296"/>
          </w:tcPr>
          <w:p>
            <w:r>
              <w:rPr>
                <w:color w:val="999999"/>
                <w:sz w:val="16"/>
              </w:rPr>
              <w:t>pr-i3d</w:t>
            </w:r>
          </w:p>
        </w:tc>
        <w:tc>
          <w:tcPr>
            <w:tcW w:type="dxa" w:w="4176"/>
          </w:tcPr>
          <w:p>
            <w:r>
              <w:t>Budget tracking</w:t>
            </w:r>
          </w:p>
        </w:tc>
        <w:tc>
          <w:tcPr>
            <w:tcW w:type="dxa" w:w="4176"/>
          </w:tcPr>
          <w:p>
            <w:r>
              <w:rPr>
                <w:sz w:val="22"/>
              </w:rPr>
              <w:t>Отслеживание бюджета</w:t>
            </w:r>
          </w:p>
        </w:tc>
      </w:tr>
      <w:tr>
        <w:tc>
          <w:tcPr>
            <w:tcW w:type="dxa" w:w="1296"/>
          </w:tcPr>
          <w:p>
            <w:r>
              <w:rPr>
                <w:color w:val="999999"/>
                <w:sz w:val="16"/>
              </w:rPr>
              <w:t>pr-t4</w:t>
            </w:r>
          </w:p>
        </w:tc>
        <w:tc>
          <w:tcPr>
            <w:tcW w:type="dxa" w:w="4176"/>
          </w:tcPr>
          <w:p>
            <w:r>
              <w:t>Delivery &amp; Site</w:t>
            </w:r>
          </w:p>
        </w:tc>
        <w:tc>
          <w:tcPr>
            <w:tcW w:type="dxa" w:w="4176"/>
          </w:tcPr>
          <w:p>
            <w:r>
              <w:rPr>
                <w:sz w:val="22"/>
              </w:rPr>
              <w:t>Поставка и объект</w:t>
            </w:r>
          </w:p>
        </w:tc>
      </w:tr>
      <w:tr>
        <w:tc>
          <w:tcPr>
            <w:tcW w:type="dxa" w:w="1296"/>
          </w:tcPr>
          <w:p>
            <w:r>
              <w:rPr>
                <w:color w:val="999999"/>
                <w:sz w:val="16"/>
              </w:rPr>
              <w:t>pr-i4a</w:t>
            </w:r>
          </w:p>
        </w:tc>
        <w:tc>
          <w:tcPr>
            <w:tcW w:type="dxa" w:w="4176"/>
          </w:tcPr>
          <w:p>
            <w:r>
              <w:t>Site inspections</w:t>
            </w:r>
          </w:p>
        </w:tc>
        <w:tc>
          <w:tcPr>
            <w:tcW w:type="dxa" w:w="4176"/>
          </w:tcPr>
          <w:p>
            <w:r>
              <w:rPr>
                <w:sz w:val="22"/>
              </w:rPr>
              <w:t>Инспекции объекта</w:t>
            </w:r>
          </w:p>
        </w:tc>
      </w:tr>
      <w:tr>
        <w:tc>
          <w:tcPr>
            <w:tcW w:type="dxa" w:w="1296"/>
          </w:tcPr>
          <w:p>
            <w:r>
              <w:rPr>
                <w:color w:val="999999"/>
                <w:sz w:val="16"/>
              </w:rPr>
              <w:t>pr-i4b</w:t>
            </w:r>
          </w:p>
        </w:tc>
        <w:tc>
          <w:tcPr>
            <w:tcW w:type="dxa" w:w="4176"/>
          </w:tcPr>
          <w:p>
            <w:r>
              <w:t>Supplier progress</w:t>
            </w:r>
          </w:p>
        </w:tc>
        <w:tc>
          <w:tcPr>
            <w:tcW w:type="dxa" w:w="4176"/>
          </w:tcPr>
          <w:p>
            <w:r>
              <w:rPr>
                <w:sz w:val="22"/>
              </w:rPr>
              <w:t>Прогресс поставщиков</w:t>
            </w:r>
          </w:p>
        </w:tc>
      </w:tr>
      <w:tr>
        <w:tc>
          <w:tcPr>
            <w:tcW w:type="dxa" w:w="1296"/>
          </w:tcPr>
          <w:p>
            <w:r>
              <w:rPr>
                <w:color w:val="999999"/>
                <w:sz w:val="16"/>
              </w:rPr>
              <w:t>pr-i4c</w:t>
            </w:r>
          </w:p>
        </w:tc>
        <w:tc>
          <w:tcPr>
            <w:tcW w:type="dxa" w:w="4176"/>
          </w:tcPr>
          <w:p>
            <w:r>
              <w:t>Deviation management</w:t>
            </w:r>
          </w:p>
        </w:tc>
        <w:tc>
          <w:tcPr>
            <w:tcW w:type="dxa" w:w="4176"/>
          </w:tcPr>
          <w:p>
            <w:r>
              <w:rPr>
                <w:sz w:val="22"/>
              </w:rPr>
              <w:t>Управление отклонениями</w:t>
            </w:r>
          </w:p>
        </w:tc>
      </w:tr>
      <w:tr>
        <w:tc>
          <w:tcPr>
            <w:tcW w:type="dxa" w:w="1296"/>
          </w:tcPr>
          <w:p>
            <w:r>
              <w:rPr>
                <w:color w:val="999999"/>
                <w:sz w:val="16"/>
              </w:rPr>
              <w:t>pr-i4d</w:t>
            </w:r>
          </w:p>
        </w:tc>
        <w:tc>
          <w:tcPr>
            <w:tcW w:type="dxa" w:w="4176"/>
          </w:tcPr>
          <w:p>
            <w:r>
              <w:t>Escalation protocol</w:t>
            </w:r>
          </w:p>
        </w:tc>
        <w:tc>
          <w:tcPr>
            <w:tcW w:type="dxa" w:w="4176"/>
          </w:tcPr>
          <w:p>
            <w:r>
              <w:rPr>
                <w:sz w:val="22"/>
              </w:rPr>
              <w:t>Протокол эскалации</w:t>
            </w:r>
          </w:p>
        </w:tc>
      </w:tr>
      <w:tr>
        <w:tc>
          <w:tcPr>
            <w:tcW w:type="dxa" w:w="1296"/>
          </w:tcPr>
          <w:p>
            <w:r>
              <w:rPr>
                <w:color w:val="999999"/>
                <w:sz w:val="16"/>
              </w:rPr>
              <w:t>pr-t5</w:t>
            </w:r>
          </w:p>
        </w:tc>
        <w:tc>
          <w:tcPr>
            <w:tcW w:type="dxa" w:w="4176"/>
          </w:tcPr>
          <w:p>
            <w:r>
              <w:t>Handover &amp; Close-out</w:t>
            </w:r>
          </w:p>
        </w:tc>
        <w:tc>
          <w:tcPr>
            <w:tcW w:type="dxa" w:w="4176"/>
          </w:tcPr>
          <w:p>
            <w:r>
              <w:rPr>
                <w:sz w:val="22"/>
              </w:rPr>
              <w:t>Сдача и закрытие</w:t>
            </w:r>
          </w:p>
        </w:tc>
      </w:tr>
      <w:tr>
        <w:tc>
          <w:tcPr>
            <w:tcW w:type="dxa" w:w="1296"/>
          </w:tcPr>
          <w:p>
            <w:r>
              <w:rPr>
                <w:color w:val="999999"/>
                <w:sz w:val="16"/>
              </w:rPr>
              <w:t>pr-i5a</w:t>
            </w:r>
          </w:p>
        </w:tc>
        <w:tc>
          <w:tcPr>
            <w:tcW w:type="dxa" w:w="4176"/>
          </w:tcPr>
          <w:p>
            <w:r>
              <w:t>Acceptance protocol</w:t>
            </w:r>
          </w:p>
        </w:tc>
        <w:tc>
          <w:tcPr>
            <w:tcW w:type="dxa" w:w="4176"/>
          </w:tcPr>
          <w:p>
            <w:r>
              <w:rPr>
                <w:sz w:val="22"/>
              </w:rPr>
              <w:t>Протокол приёмки</w:t>
            </w:r>
          </w:p>
        </w:tc>
      </w:tr>
      <w:tr>
        <w:tc>
          <w:tcPr>
            <w:tcW w:type="dxa" w:w="1296"/>
          </w:tcPr>
          <w:p>
            <w:r>
              <w:rPr>
                <w:color w:val="999999"/>
                <w:sz w:val="16"/>
              </w:rPr>
              <w:t>pr-i5b</w:t>
            </w:r>
          </w:p>
        </w:tc>
        <w:tc>
          <w:tcPr>
            <w:tcW w:type="dxa" w:w="4176"/>
          </w:tcPr>
          <w:p>
            <w:r>
              <w:t>Punch-list</w:t>
            </w:r>
          </w:p>
        </w:tc>
        <w:tc>
          <w:tcPr>
            <w:tcW w:type="dxa" w:w="4176"/>
          </w:tcPr>
          <w:p>
            <w:r>
              <w:rPr>
                <w:sz w:val="22"/>
              </w:rPr>
              <w:t>Лист замечаний</w:t>
            </w:r>
          </w:p>
        </w:tc>
      </w:tr>
      <w:tr>
        <w:tc>
          <w:tcPr>
            <w:tcW w:type="dxa" w:w="1296"/>
          </w:tcPr>
          <w:p>
            <w:r>
              <w:rPr>
                <w:color w:val="999999"/>
                <w:sz w:val="16"/>
              </w:rPr>
              <w:t>pr-i5c</w:t>
            </w:r>
          </w:p>
        </w:tc>
        <w:tc>
          <w:tcPr>
            <w:tcW w:type="dxa" w:w="4176"/>
          </w:tcPr>
          <w:p>
            <w:r>
              <w:t>Final documentation</w:t>
            </w:r>
          </w:p>
        </w:tc>
        <w:tc>
          <w:tcPr>
            <w:tcW w:type="dxa" w:w="4176"/>
          </w:tcPr>
          <w:p>
            <w:r>
              <w:rPr>
                <w:sz w:val="22"/>
              </w:rPr>
              <w:t>Итоговая документация</w:t>
            </w:r>
          </w:p>
        </w:tc>
      </w:tr>
      <w:tr>
        <w:tc>
          <w:tcPr>
            <w:tcW w:type="dxa" w:w="1296"/>
          </w:tcPr>
          <w:p>
            <w:r>
              <w:rPr>
                <w:color w:val="999999"/>
                <w:sz w:val="16"/>
              </w:rPr>
              <w:t>pr-i5d</w:t>
            </w:r>
          </w:p>
        </w:tc>
        <w:tc>
          <w:tcPr>
            <w:tcW w:type="dxa" w:w="4176"/>
          </w:tcPr>
          <w:p>
            <w:r>
              <w:t>Compliance records</w:t>
            </w:r>
          </w:p>
        </w:tc>
        <w:tc>
          <w:tcPr>
            <w:tcW w:type="dxa" w:w="4176"/>
          </w:tcPr>
          <w:p>
            <w:r>
              <w:rPr>
                <w:sz w:val="22"/>
              </w:rPr>
              <w:t>Записи о соответствии</w:t>
            </w:r>
          </w:p>
        </w:tc>
      </w:tr>
    </w:tbl>
    <w:p>
      <w:pPr>
        <w:pStyle w:val="Heading1"/>
      </w:pPr>
      <w:r>
        <w:t>8 · Profilo / Founder</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stag-who</w:t>
            </w:r>
          </w:p>
        </w:tc>
        <w:tc>
          <w:tcPr>
            <w:tcW w:type="dxa" w:w="4176"/>
          </w:tcPr>
          <w:p>
            <w:r>
              <w:t>The Founder</w:t>
            </w:r>
          </w:p>
        </w:tc>
        <w:tc>
          <w:tcPr>
            <w:tcW w:type="dxa" w:w="4176"/>
          </w:tcPr>
          <w:p>
            <w:r>
              <w:rPr>
                <w:sz w:val="22"/>
              </w:rPr>
              <w:t>Основатель</w:t>
            </w:r>
          </w:p>
        </w:tc>
      </w:tr>
      <w:tr>
        <w:tc>
          <w:tcPr>
            <w:tcW w:type="dxa" w:w="1296"/>
          </w:tcPr>
          <w:p>
            <w:r>
              <w:rPr>
                <w:color w:val="999999"/>
                <w:sz w:val="16"/>
              </w:rPr>
              <w:t>bio</w:t>
            </w:r>
          </w:p>
        </w:tc>
        <w:tc>
          <w:tcPr>
            <w:tcW w:type="dxa" w:w="4176"/>
          </w:tcPr>
          <w:p>
            <w:r>
              <w:t>Leveraging Brand Experience across diverse sectors: Destination Hospitality, Retail, Brand Activations, Workplaces, and successful premium products in home appliances, sanitary, kitchen, furniture for home, outdoor, public spaces and office environments.&lt;br&gt;&lt;br&gt;Managing projects from strategic design consulting to the complete supply of finished products. Leading teams while overseeing design, strategy, project management, timelines, supplier negotiations, budget control, and analytical tracking of team and project metrics.&lt;br&gt;&lt;br&gt;Strategic design projects for &lt;span class="bio-red"&gt;50+ top-tier global clients&lt;/span&gt; including PepsiCo, 3M, ABB, Unilever, Intel, Amplifon, Adidas, Trenitalia Frecciarossa, Durex, Illy, Cimbali, Ferrarelle, Candy, Hotpoint Ariston, Midea, Vimar, Gewiss, Bosch Rexroth, Uteco, Atlante, Simonelli, Aristarco, Generali, Unipol, Vittoria Assicurazioni, Blue Lagoon Iceland, Salone del Mobile Federlegno Arredo, B&amp;amp;B Italia, Flos, Louis Poulsen, Laufen, Steelcase Coalesse, Viccarbe, Urmet Domus, Dedon, Lema, Moroso, Fendi Casa.&lt;br&gt;&lt;br&gt;&lt;span class="bio-red"&gt;40+&lt;/span&gt; international awards.</w:t>
            </w:r>
          </w:p>
        </w:tc>
        <w:tc>
          <w:tcPr>
            <w:tcW w:type="dxa" w:w="4176"/>
          </w:tcPr>
          <w:p>
            <w:r>
              <w:rPr>
                <w:sz w:val="22"/>
              </w:rPr>
              <w:t>Богатый опыт в брендовом дизайне в различных секторах: гостиничный бизнес, ритейл, брендовые активации, рабочие пространства и успешные премиальные продукты в категориях бытовой техники, санузлов, кухонь, мебели, уличных и офисных пространств.&lt;br&gt;&lt;br&gt;Управление проектами от стратегического дизайн-консалтинга до полной поставки готовой продукции. Руководство командами с контролем дизайна, стратегии, управления проектами, сроков, переговоров с поставщиками и бюджета.&lt;br&gt;&lt;br&gt;Стратегические дизайн-проекты для &lt;span class="bio-red"&gt;более 50 ведущих мировых клиентов&lt;/span&gt;, включая PepsiCo, 3M, ABB, Unilever, Intel, Amplifon, Adidas, Trenitalia Frecciarossa, Durex, Illy, Cimbali, Ferrarelle, Candy, Hotpoint Ariston, Midea, Vimar, Gewiss, Bosch Rexroth, Uteco, Atlante, Simonelli, Aristarco, Generali, Unipol, Vittoria Assicurazioni, Blue Lagoon Iceland, Salone del Mobile, B&amp;amp;B Italia, Flos, Louis Poulsen, Laufen, Steelcase Coalesse, Viccarbe, Urmet Domus, Dedon, Lema, Moroso, Fendi Casa.&lt;br&gt;&lt;br&gt;Более &lt;span class="bio-red"&gt;40&lt;/span&gt; международных наград.</w:t>
            </w:r>
          </w:p>
        </w:tc>
      </w:tr>
      <w:tr>
        <w:tc>
          <w:tcPr>
            <w:tcW w:type="dxa" w:w="1296"/>
          </w:tcPr>
          <w:p>
            <w:r>
              <w:rPr>
                <w:color w:val="999999"/>
                <w:sz w:val="16"/>
              </w:rPr>
              <w:t>stag-clients</w:t>
            </w:r>
          </w:p>
        </w:tc>
        <w:tc>
          <w:tcPr>
            <w:tcW w:type="dxa" w:w="4176"/>
          </w:tcPr>
          <w:p>
            <w:r>
              <w:t>Portfolio</w:t>
            </w:r>
          </w:p>
        </w:tc>
        <w:tc>
          <w:tcPr>
            <w:tcW w:type="dxa" w:w="4176"/>
          </w:tcPr>
          <w:p>
            <w:r>
              <w:rPr>
                <w:sz w:val="22"/>
              </w:rPr>
              <w:t>Портфолио</w:t>
            </w:r>
          </w:p>
        </w:tc>
      </w:tr>
      <w:tr>
        <w:tc>
          <w:tcPr>
            <w:tcW w:type="dxa" w:w="1296"/>
          </w:tcPr>
          <w:p>
            <w:r>
              <w:rPr>
                <w:color w:val="999999"/>
                <w:sz w:val="16"/>
              </w:rPr>
              <w:t>clients-btn</w:t>
            </w:r>
          </w:p>
        </w:tc>
        <w:tc>
          <w:tcPr>
            <w:tcW w:type="dxa" w:w="4176"/>
          </w:tcPr>
          <w:p>
            <w:r>
              <w:t>Access Reserved</w:t>
            </w:r>
          </w:p>
        </w:tc>
        <w:tc>
          <w:tcPr>
            <w:tcW w:type="dxa" w:w="4176"/>
          </w:tcPr>
          <w:p>
            <w:r>
              <w:rPr>
                <w:sz w:val="22"/>
              </w:rPr>
              <w:t>Закрытая зона</w:t>
            </w:r>
          </w:p>
        </w:tc>
      </w:tr>
    </w:tbl>
    <w:p>
      <w:pPr>
        <w:pStyle w:val="Heading1"/>
      </w:pPr>
      <w:r>
        <w:t>9 · Chiusura (CTA)</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cta-hl-1</w:t>
            </w:r>
          </w:p>
        </w:tc>
        <w:tc>
          <w:tcPr>
            <w:tcW w:type="dxa" w:w="4176"/>
          </w:tcPr>
          <w:p>
            <w:r>
              <w:t>Every space.</w:t>
            </w:r>
          </w:p>
        </w:tc>
        <w:tc>
          <w:tcPr>
            <w:tcW w:type="dxa" w:w="4176"/>
          </w:tcPr>
          <w:p>
            <w:r>
              <w:rPr>
                <w:sz w:val="22"/>
              </w:rPr>
              <w:t>Каждое пространство.</w:t>
            </w:r>
          </w:p>
        </w:tc>
      </w:tr>
      <w:tr>
        <w:tc>
          <w:tcPr>
            <w:tcW w:type="dxa" w:w="1296"/>
          </w:tcPr>
          <w:p>
            <w:r>
              <w:rPr>
                <w:color w:val="999999"/>
                <w:sz w:val="16"/>
              </w:rPr>
              <w:t>cta-hl-2</w:t>
            </w:r>
          </w:p>
        </w:tc>
        <w:tc>
          <w:tcPr>
            <w:tcW w:type="dxa" w:w="4176"/>
          </w:tcPr>
          <w:p>
            <w:r>
              <w:t>Delivered.</w:t>
            </w:r>
          </w:p>
        </w:tc>
        <w:tc>
          <w:tcPr>
            <w:tcW w:type="dxa" w:w="4176"/>
          </w:tcPr>
          <w:p>
            <w:r>
              <w:rPr>
                <w:sz w:val="22"/>
              </w:rPr>
              <w:t>Реализовано.</w:t>
            </w:r>
          </w:p>
        </w:tc>
      </w:tr>
      <w:tr>
        <w:tc>
          <w:tcPr>
            <w:tcW w:type="dxa" w:w="1296"/>
          </w:tcPr>
          <w:p>
            <w:r>
              <w:rPr>
                <w:color w:val="999999"/>
                <w:sz w:val="16"/>
              </w:rPr>
              <w:t>cta-sub</w:t>
            </w:r>
          </w:p>
        </w:tc>
        <w:tc>
          <w:tcPr>
            <w:tcW w:type="dxa" w:w="4176"/>
          </w:tcPr>
          <w:p>
            <w:r>
              <w:t>Worldwide Projects</w:t>
            </w:r>
          </w:p>
        </w:tc>
        <w:tc>
          <w:tcPr>
            <w:tcW w:type="dxa" w:w="4176"/>
          </w:tcPr>
          <w:p>
            <w:r>
              <w:rPr>
                <w:sz w:val="22"/>
              </w:rPr>
              <w:t>Международные проекты</w:t>
            </w:r>
          </w:p>
        </w:tc>
      </w:tr>
    </w:tbl>
    <w:p>
      <w:pPr>
        <w:pStyle w:val="Heading1"/>
      </w:pPr>
      <w:r>
        <w:t>Area riservata (finestra password)</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r>
              <w:rPr>
                <w:b/>
              </w:rPr>
              <w:t>ID</w:t>
            </w:r>
          </w:p>
        </w:tc>
        <w:tc>
          <w:tcPr>
            <w:tcW w:type="dxa" w:w="4176"/>
          </w:tcPr>
          <w:p>
            <w:r>
              <w:rPr>
                <w:b/>
              </w:rPr>
              <w:t>English (riferimento)</w:t>
            </w:r>
          </w:p>
        </w:tc>
        <w:tc>
          <w:tcPr>
            <w:tcW w:type="dxa" w:w="4176"/>
          </w:tcPr>
          <w:p>
            <w:r>
              <w:rPr>
                <w:b/>
              </w:rPr>
              <w:t>Русский (изменить здесь)</w:t>
            </w:r>
          </w:p>
        </w:tc>
      </w:tr>
      <w:tr>
        <w:tc>
          <w:tcPr>
            <w:tcW w:type="dxa" w:w="1296"/>
          </w:tcPr>
          <w:p>
            <w:r>
              <w:rPr>
                <w:color w:val="999999"/>
                <w:sz w:val="16"/>
              </w:rPr>
              <w:t>pwd-title</w:t>
            </w:r>
          </w:p>
        </w:tc>
        <w:tc>
          <w:tcPr>
            <w:tcW w:type="dxa" w:w="4176"/>
          </w:tcPr>
          <w:p>
            <w:r>
              <w:t>Reserved Area</w:t>
            </w:r>
          </w:p>
        </w:tc>
        <w:tc>
          <w:tcPr>
            <w:tcW w:type="dxa" w:w="4176"/>
          </w:tcPr>
          <w:p>
            <w:r>
              <w:rPr>
                <w:sz w:val="22"/>
              </w:rPr>
              <w:t>Закрытый раздел</w:t>
            </w:r>
          </w:p>
        </w:tc>
      </w:tr>
      <w:tr>
        <w:tc>
          <w:tcPr>
            <w:tcW w:type="dxa" w:w="1296"/>
          </w:tcPr>
          <w:p>
            <w:r>
              <w:rPr>
                <w:color w:val="999999"/>
                <w:sz w:val="16"/>
              </w:rPr>
              <w:t>pwd-placeholder</w:t>
            </w:r>
          </w:p>
        </w:tc>
        <w:tc>
          <w:tcPr>
            <w:tcW w:type="dxa" w:w="4176"/>
          </w:tcPr>
          <w:p>
            <w:r>
              <w:t>Enter password</w:t>
            </w:r>
          </w:p>
        </w:tc>
        <w:tc>
          <w:tcPr>
            <w:tcW w:type="dxa" w:w="4176"/>
          </w:tcPr>
          <w:p>
            <w:r>
              <w:rPr>
                <w:sz w:val="22"/>
              </w:rPr>
              <w:t>Введите пароль</w:t>
            </w:r>
          </w:p>
        </w:tc>
      </w:tr>
      <w:tr>
        <w:tc>
          <w:tcPr>
            <w:tcW w:type="dxa" w:w="1296"/>
          </w:tcPr>
          <w:p>
            <w:r>
              <w:rPr>
                <w:color w:val="999999"/>
                <w:sz w:val="16"/>
              </w:rPr>
              <w:t>pwd-submit</w:t>
            </w:r>
          </w:p>
        </w:tc>
        <w:tc>
          <w:tcPr>
            <w:tcW w:type="dxa" w:w="4176"/>
          </w:tcPr>
          <w:p>
            <w:r>
              <w:t>Enter</w:t>
            </w:r>
          </w:p>
        </w:tc>
        <w:tc>
          <w:tcPr>
            <w:tcW w:type="dxa" w:w="4176"/>
          </w:tcPr>
          <w:p>
            <w:r>
              <w:rPr>
                <w:sz w:val="22"/>
              </w:rPr>
              <w:t>Войти</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