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both"/>
        <w:rPr>
          <w:b/>
          <w:b/>
          <w:bCs/>
        </w:rPr>
      </w:pPr>
      <w:bookmarkStart w:id="0" w:name="_Hlk149132419"/>
      <w:bookmarkEnd w:id="0"/>
      <w:r>
        <w:rPr>
          <w:b/>
          <w:bCs/>
        </w:rPr>
        <w:t xml:space="preserve">Autonomous detection and segmentation of wind turbine blades using YOLOv8 </w:t>
      </w:r>
    </w:p>
    <w:p>
      <w:pPr>
        <w:pStyle w:val="Normal"/>
        <w:spacing w:lineRule="auto" w:line="240" w:before="0" w:after="0"/>
        <w:jc w:val="both"/>
        <w:rPr>
          <w:b/>
          <w:b/>
          <w:bCs/>
        </w:rPr>
      </w:pPr>
      <w:r>
        <w:rPr>
          <w:b/>
          <w:bCs/>
        </w:rPr>
      </w:r>
    </w:p>
    <w:p>
      <w:pPr>
        <w:pStyle w:val="Normal"/>
        <w:spacing w:lineRule="auto" w:line="240" w:before="0" w:after="0"/>
        <w:jc w:val="both"/>
        <w:rPr/>
      </w:pPr>
      <w:r>
        <w:rPr>
          <w:b/>
          <w:bCs/>
        </w:rPr>
        <w:t>Pavan Sai Prasanth Sabnaveesu and Dr. Md Monirul Islam</w:t>
      </w:r>
    </w:p>
    <w:p>
      <w:pPr>
        <w:pStyle w:val="Normal"/>
        <w:spacing w:lineRule="auto" w:line="240" w:before="0" w:after="0"/>
        <w:jc w:val="both"/>
        <w:rPr/>
      </w:pPr>
      <w:r>
        <w:rPr/>
      </w:r>
    </w:p>
    <w:p>
      <w:pPr>
        <w:pStyle w:val="Normal"/>
        <w:spacing w:lineRule="auto" w:line="240" w:before="0" w:after="0"/>
        <w:jc w:val="both"/>
        <w:rPr/>
      </w:pPr>
      <w:r>
        <w:rPr>
          <w:b/>
          <w:bCs/>
        </w:rPr>
        <w:t>Keywords</w:t>
      </w:r>
      <w:r>
        <w:rPr/>
        <w:t>: Autonomous detection and segmentation, wind turbine blades, Mask R-CNN, YOLOV7, And YOLOV8</w:t>
      </w:r>
    </w:p>
    <w:p>
      <w:pPr>
        <w:pStyle w:val="Normal"/>
        <w:spacing w:lineRule="auto" w:line="240" w:before="0" w:after="0"/>
        <w:jc w:val="both"/>
        <w:rPr/>
      </w:pPr>
      <w:r>
        <w:rPr/>
      </w:r>
    </w:p>
    <w:p>
      <w:pPr>
        <w:pStyle w:val="Normal"/>
        <w:spacing w:lineRule="auto" w:line="240" w:before="0" w:after="0"/>
        <w:jc w:val="both"/>
        <w:rPr/>
      </w:pPr>
      <w:r>
        <w:rPr>
          <w:b/>
          <w:bCs/>
        </w:rPr>
        <w:t xml:space="preserve">Abstract </w:t>
      </w:r>
    </w:p>
    <w:p>
      <w:pPr>
        <w:pStyle w:val="Normal"/>
        <w:spacing w:lineRule="auto" w:line="240" w:before="0" w:after="0"/>
        <w:jc w:val="both"/>
        <w:rPr>
          <w:b/>
          <w:b/>
          <w:bCs/>
        </w:rPr>
      </w:pPr>
      <w:r>
        <w:rPr>
          <w:b/>
          <w:bCs/>
        </w:rPr>
      </w:r>
    </w:p>
    <w:p>
      <w:pPr>
        <w:pStyle w:val="Normal"/>
        <w:spacing w:lineRule="auto" w:line="240" w:before="0" w:after="0"/>
        <w:jc w:val="both"/>
        <w:rPr>
          <w:rFonts w:eastAsia="Times New Roman"/>
          <w:kern w:val="0"/>
          <w:lang w:bidi="ar-SA"/>
        </w:rPr>
      </w:pPr>
      <w:r>
        <w:rPr>
          <w:rFonts w:eastAsia="Times New Roman"/>
          <w:kern w:val="0"/>
          <w:lang w:bidi="ar-SA"/>
        </w:rPr>
        <w:t>Wind turbines are pivotal in sustainable electricity generation, aligning with renewable energy to meet escalating power demands. However, the constant exposure of turbine blades to environmental elements necessitates diligent monitoring to ensure a dependable power supply. In response, this research focuses on enhancing efficiency through state-of-the-art object detection algorithms. Leveraging Mask R-CNN, YOLOv7, and YOLOv8, an innovative autonomous system is developed to identify turbine blade faults systematically. The primary aim is to reduce operation and maintenance costs while strengthen safety standards in wind energy infrastructure. A significant aspect of this endeavor is the extensive drone-based data acquisition process, resulting in a diverse dataset of 2,127 augmented images. The study's findings highlight the effectiveness of these advanced algorithms, with YOLOv8 emerging as the top performer. With a detection mAP@IoU (0.7) of 97.30% and a segmentation mAP@mask (0.8) of 97.60%, YOLOv8 demonstrates remarkable capabilities in wind turbine fault detection and segmentation. Ultimately, this research contributes significantly to the evolution of renewable energy infrastructure, paving the way for more reliable and sustainable wind power solutions.</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t xml:space="preserve">Introduction   </w:t>
      </w:r>
    </w:p>
    <w:p>
      <w:pPr>
        <w:pStyle w:val="Normal"/>
        <w:spacing w:lineRule="auto" w:line="240" w:before="0" w:after="0"/>
        <w:jc w:val="both"/>
        <w:rPr/>
      </w:pPr>
      <w:r>
        <w:rPr/>
      </w:r>
    </w:p>
    <w:p>
      <w:pPr>
        <w:pStyle w:val="Normal"/>
        <w:spacing w:lineRule="auto" w:line="240" w:before="0" w:after="0"/>
        <w:jc w:val="both"/>
        <w:rPr/>
      </w:pPr>
      <w:r>
        <w:rPr/>
        <w:t>Fossil fuel-based energy sources stand as the primary driver of greenhouse gas emissions. To address these emissions and environmental challenges, seamlessly integrating renewable energy sources into our daily lives becomes imperative. The Paris Agreement, signed by 165 nations in 2015, marked a significant milestone, fortifying the global commitment to curbing carbon dioxide emissions and boosting investments in renewable energy solutions [1]. Following the agreement, there was a substantial increase in expenditure for green energy infrastructure. Notably, solar and wind energy emerged as front-runners in the competition for renewable energy production. According to the United States Energy Information Administration [2], solar power contributes 9%, and wind production contributes 24% to the nation's energy supply. Subsequently, Technology has transformed the manufacture and design of wind turbines, bringing down the cost of power generation in comparison to other renewable energy sources. The efficiency of a wind turbine is nearly double that of solar panels [3]. As of now, wind energy stands out as one of the most cost-effective renewable resources, with production costs averaging between one and two cents per kilowatt-hour [4]. Additionally, it is worth noting that harnessing one megawatt of wind energy can potentially offset approximately 2600 tons of carbon dioxide emissions [5].</w:t>
      </w:r>
    </w:p>
    <w:p>
      <w:pPr>
        <w:pStyle w:val="Normal"/>
        <w:spacing w:lineRule="auto" w:line="240" w:before="0" w:after="0"/>
        <w:jc w:val="both"/>
        <w:rPr/>
      </w:pPr>
      <w:r>
        <w:rPr/>
      </w:r>
    </w:p>
    <w:p>
      <w:pPr>
        <w:pStyle w:val="Normal"/>
        <w:spacing w:lineRule="auto" w:line="240" w:before="0" w:after="0"/>
        <w:jc w:val="both"/>
        <w:rPr/>
      </w:pPr>
      <w:r>
        <w:rPr/>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Wind turbine blades, boasting an impressive length of 100-140 meters, play a pivotal role in electricity generation. Their efficiency in rotation directly influences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pPr>
        <w:pStyle w:val="Normal"/>
        <w:spacing w:lineRule="auto" w:line="240" w:before="0" w:after="0"/>
        <w:jc w:val="both"/>
        <w:rPr/>
      </w:pPr>
      <w:r>
        <w:rPr/>
      </w:r>
    </w:p>
    <w:p>
      <w:pPr>
        <w:pStyle w:val="Normal"/>
        <w:spacing w:lineRule="auto" w:line="240" w:before="0" w:after="0"/>
        <w:jc w:val="both"/>
        <w:rPr/>
      </w:pPr>
      <w:r>
        <w:rPr/>
        <w:t xml:space="preserve">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pPr>
        <w:pStyle w:val="Normal"/>
        <w:spacing w:lineRule="auto" w:line="240" w:before="0" w:after="0"/>
        <w:jc w:val="both"/>
        <w:rPr/>
      </w:pPr>
      <w:r>
        <w:rPr/>
      </w:r>
    </w:p>
    <w:p>
      <w:pPr>
        <w:pStyle w:val="Normal"/>
        <w:spacing w:lineRule="auto" w:line="240" w:before="0" w:after="0"/>
        <w:jc w:val="both"/>
        <w:rPr/>
      </w:pPr>
      <w:r>
        <w:rPr/>
        <w:t>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cutting-edge object detection algorithms, namely Mask R-CNN, YOLOV7, and YOLOV8, to navigate the challenges of manual inspections. First, let's start with contributions and then data acquisition.</w:t>
      </w:r>
    </w:p>
    <w:p>
      <w:pPr>
        <w:pStyle w:val="Normal"/>
        <w:spacing w:lineRule="auto" w:line="240" w:before="0" w:after="0"/>
        <w:jc w:val="both"/>
        <w:rPr/>
      </w:pPr>
      <w:r>
        <w:rPr/>
      </w:r>
    </w:p>
    <w:p>
      <w:pPr>
        <w:pStyle w:val="Normal"/>
        <w:spacing w:lineRule="auto" w:line="240" w:before="0" w:after="0"/>
        <w:jc w:val="both"/>
        <w:rPr>
          <w:b/>
          <w:b/>
          <w:bCs/>
        </w:rPr>
      </w:pPr>
      <w:r>
        <w:rPr>
          <w:b/>
          <w:bCs/>
        </w:rPr>
        <w:t>Contributions</w:t>
      </w:r>
    </w:p>
    <w:p>
      <w:pPr>
        <w:pStyle w:val="Normal"/>
        <w:spacing w:lineRule="auto" w:line="240" w:before="0" w:after="0"/>
        <w:jc w:val="both"/>
        <w:rPr/>
      </w:pPr>
      <w:r>
        <w:rPr/>
      </w:r>
    </w:p>
    <w:p>
      <w:pPr>
        <w:pStyle w:val="ListParagraph"/>
        <w:numPr>
          <w:ilvl w:val="0"/>
          <w:numId w:val="2"/>
        </w:numPr>
        <w:spacing w:lineRule="auto" w:line="240" w:before="0" w:after="0"/>
        <w:contextualSpacing/>
        <w:jc w:val="both"/>
        <w:rPr>
          <w:rFonts w:ascii="Arial" w:hAnsi="Arial" w:cs="Arial"/>
          <w:sz w:val="24"/>
          <w:szCs w:val="24"/>
        </w:rPr>
      </w:pPr>
      <w:r>
        <w:rPr>
          <w:rFonts w:cs="Arial" w:ascii="Arial" w:hAnsi="Arial"/>
          <w:sz w:val="24"/>
          <w:szCs w:val="24"/>
        </w:rPr>
        <w:t>The primary contribution of this project lies in the extensive data acquisition process, wherein utilized drones to capture turbine blade images across diverse backgrounds.</w:t>
      </w:r>
    </w:p>
    <w:p>
      <w:pPr>
        <w:pStyle w:val="ListParagraph"/>
        <w:numPr>
          <w:ilvl w:val="0"/>
          <w:numId w:val="2"/>
        </w:numPr>
        <w:spacing w:lineRule="auto" w:line="240" w:before="0" w:after="0"/>
        <w:contextualSpacing/>
        <w:jc w:val="both"/>
        <w:rPr>
          <w:rFonts w:ascii="Arial" w:hAnsi="Arial" w:cs="Arial"/>
          <w:b/>
          <w:b/>
          <w:bCs/>
          <w:sz w:val="24"/>
          <w:szCs w:val="24"/>
        </w:rPr>
      </w:pPr>
      <w:r>
        <w:rPr>
          <w:rFonts w:cs="Arial" w:ascii="Arial" w:hAnsi="Arial"/>
          <w:sz w:val="24"/>
          <w:szCs w:val="24"/>
        </w:rPr>
        <w:t xml:space="preserve">The incorporation of the Mask R CNN algorithm, a single-stage detector chosen for its excellent masking capabilities tailored to wind turbine blades, was succeeded by the application of YOLOv7, a multi-stage detector that potentially offers a superior mean Average Precision (mAP) score.   </w:t>
      </w:r>
    </w:p>
    <w:p>
      <w:pPr>
        <w:pStyle w:val="ListParagraph"/>
        <w:numPr>
          <w:ilvl w:val="0"/>
          <w:numId w:val="2"/>
        </w:numPr>
        <w:spacing w:lineRule="auto" w:line="240" w:before="0" w:after="0"/>
        <w:contextualSpacing/>
        <w:jc w:val="both"/>
        <w:rPr>
          <w:rFonts w:ascii="Arial" w:hAnsi="Arial" w:cs="Arial"/>
          <w:b/>
          <w:b/>
          <w:bCs/>
          <w:sz w:val="24"/>
          <w:szCs w:val="24"/>
        </w:rPr>
      </w:pPr>
      <w:r>
        <w:rPr/>
        <w:t>A noteworthy contribution to the study was the application of YOLOv8, a multi-stage detector, chosen for its outstanding mean Average Precision (mAP) score, efficient inference time, optimized training parameters, and impressive masking capabilities. The researched hyper-tuning of Variable Intersection of Union thresholds added an additional layer of analysis to assess the model's accuracy and efficiency.</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t>Data Acquisition</w:t>
      </w:r>
    </w:p>
    <w:p>
      <w:pPr>
        <w:pStyle w:val="Normal"/>
        <w:spacing w:lineRule="auto" w:line="240" w:before="0" w:after="0"/>
        <w:jc w:val="both"/>
        <w:rPr/>
      </w:pPr>
      <w:r>
        <w:rPr/>
      </w:r>
    </w:p>
    <w:p>
      <w:pPr>
        <w:pStyle w:val="Normal"/>
        <w:spacing w:lineRule="auto" w:line="240" w:before="0" w:after="0"/>
        <w:jc w:val="both"/>
        <w:rPr/>
      </w:pPr>
      <w:r>
        <w:rPr/>
        <w:t>In this research,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systematically divided the dataset into training, validation, and test subsets, consisting of 2,127, 181, and 41 images. Addressing concerns of underfitting and overfitting,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notable enhancement in model performance.</w:t>
      </w:r>
    </w:p>
    <w:p>
      <w:pPr>
        <w:pStyle w:val="Normal"/>
        <w:spacing w:lineRule="auto" w:line="240" w:before="0" w:after="0"/>
        <w:jc w:val="both"/>
        <w:rPr/>
      </w:pPr>
      <w:r>
        <w:rPr/>
      </w:r>
    </w:p>
    <w:p>
      <w:pPr>
        <w:pStyle w:val="Normal"/>
        <w:spacing w:lineRule="auto" w:line="240" w:before="0" w:after="0"/>
        <w:jc w:val="both"/>
        <w:rPr>
          <w:b/>
          <w:b/>
          <w:bCs/>
        </w:rPr>
      </w:pPr>
      <w:r>
        <w:rPr>
          <w:b/>
          <w:bCs/>
        </w:rPr>
        <w:t xml:space="preserve">Transfer learning </w:t>
      </w:r>
    </w:p>
    <w:p>
      <w:pPr>
        <w:pStyle w:val="Normal"/>
        <w:spacing w:lineRule="auto" w:line="240" w:before="0" w:after="0"/>
        <w:jc w:val="both"/>
        <w:rPr/>
      </w:pPr>
      <w:r>
        <w:rPr/>
      </w:r>
    </w:p>
    <w:p>
      <w:pPr>
        <w:pStyle w:val="Normal"/>
        <w:spacing w:lineRule="auto" w:line="240" w:before="0" w:after="0"/>
        <w:jc w:val="both"/>
        <w:rPr/>
      </w:pPr>
      <w:r>
        <w:rPr/>
        <w:t>Transfer learning is used to leverage pre-trained models, reducing the need for extensive data and computational resources. Recognizing the challenge of accumulation of several labeled datasets, adopted the transfer learning method. Specifically, utilize a pre-trained model from the Microsoft Common Objects in Context (MS COCO) dataset [8]. In the next section, will delve into the algorithms utilized in this project.</w:t>
      </w:r>
    </w:p>
    <w:p>
      <w:pPr>
        <w:pStyle w:val="Normal"/>
        <w:spacing w:lineRule="auto" w:line="240" w:before="0" w:after="0"/>
        <w:jc w:val="both"/>
        <w:rPr/>
      </w:pPr>
      <w:r>
        <w:rPr/>
      </w:r>
    </w:p>
    <w:p>
      <w:pPr>
        <w:pStyle w:val="Normal"/>
        <w:spacing w:lineRule="auto" w:line="240" w:before="0" w:after="0"/>
        <w:jc w:val="both"/>
        <w:rPr>
          <w:b/>
          <w:b/>
          <w:bCs/>
        </w:rPr>
      </w:pPr>
      <w:r>
        <w:rPr>
          <w:b/>
          <w:bCs/>
        </w:rPr>
        <w:t xml:space="preserve">Algorithms and methodology: </w:t>
      </w:r>
    </w:p>
    <w:p>
      <w:pPr>
        <w:pStyle w:val="Normal"/>
        <w:spacing w:lineRule="auto" w:line="240" w:before="0" w:after="0"/>
        <w:jc w:val="both"/>
        <w:rPr/>
      </w:pPr>
      <w:r>
        <w:rPr/>
      </w:r>
    </w:p>
    <w:p>
      <w:pPr>
        <w:pStyle w:val="Normal"/>
        <w:spacing w:lineRule="auto" w:line="240" w:before="0" w:after="0"/>
        <w:jc w:val="both"/>
        <w:rPr/>
      </w:pPr>
      <w:r>
        <w:rPr/>
        <w:t>In this study, leverage three cutting-edge object detection algorithms—Mask R-CNN, YOLOv7, and YOLOv8—to effectively detect and segment wind turbine faults. The approach begins with the mAP-focused segmentation tasks handled by Mask R-CNN. Subsequently, transitioned to the deployment of YOLOv7 and YOLOv8 for robust and real-time fault detection. The overarching goal is to achieve a harmonious balance between accuracy and efficiency in identifying defects in turbine blades. Additionally, investigation delves into the YOLOv8 model, exploring its algorithms with different Intersection of Union parameters, further enhancing understanding of its capabilities. First, chose the Mask R-CNN algorithm because of its good segmentation capabilities.</w:t>
      </w:r>
    </w:p>
    <w:p>
      <w:pPr>
        <w:pStyle w:val="Normal"/>
        <w:spacing w:lineRule="auto" w:line="240" w:before="0" w:after="0"/>
        <w:jc w:val="both"/>
        <w:rPr/>
      </w:pPr>
      <w:r>
        <w:rPr/>
      </w:r>
    </w:p>
    <w:p>
      <w:pPr>
        <w:pStyle w:val="Normal"/>
        <w:spacing w:lineRule="auto" w:line="240" w:before="0" w:after="0"/>
        <w:jc w:val="both"/>
        <w:rPr/>
      </w:pPr>
      <w:r>
        <w:rPr>
          <w:b/>
          <w:bCs/>
        </w:rPr>
        <w:t>Mask R-CNN</w:t>
      </w:r>
      <w:r>
        <w:rPr/>
        <w:t xml:space="preserve"> </w:t>
      </w:r>
    </w:p>
    <w:p>
      <w:pPr>
        <w:pStyle w:val="Normal"/>
        <w:spacing w:lineRule="auto" w:line="240" w:before="0" w:after="0"/>
        <w:jc w:val="both"/>
        <w:rPr/>
      </w:pPr>
      <w:r>
        <w:rPr/>
      </w:r>
    </w:p>
    <w:p>
      <w:pPr>
        <w:pStyle w:val="Normal"/>
        <w:spacing w:lineRule="auto" w:line="240" w:before="0" w:after="0"/>
        <w:jc w:val="both"/>
        <w:rPr/>
      </w:pPr>
      <w:r>
        <w:rPr/>
        <w:t>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L</w:t>
      </w:r>
      <w:r>
        <w:rPr>
          <w:vertAlign w:val="subscript"/>
        </w:rPr>
        <w:t>cls</w:t>
      </w:r>
      <w:r>
        <w:rPr/>
        <w:t xml:space="preserve"> (P</w:t>
      </w:r>
      <w:r>
        <w:rPr>
          <w:vertAlign w:val="subscript"/>
        </w:rPr>
        <w:t>i</w:t>
      </w:r>
      <w:r>
        <w:rPr/>
        <w:t>, P</w:t>
      </w:r>
      <w:r>
        <w:rPr>
          <w:vertAlign w:val="subscript"/>
        </w:rPr>
        <w:t>i</w:t>
      </w:r>
      <w:r>
        <w:rPr>
          <w:vertAlign w:val="superscript"/>
        </w:rPr>
        <w:t>*</w:t>
      </w:r>
      <w:r>
        <w:rPr/>
        <w:t>) = -lb [P</w:t>
      </w:r>
      <w:r>
        <w:rPr>
          <w:vertAlign w:val="subscript"/>
        </w:rPr>
        <w:t>i</w:t>
      </w:r>
      <w:r>
        <w:rPr/>
        <w:t>P</w:t>
      </w:r>
      <w:r>
        <w:rPr>
          <w:vertAlign w:val="subscript"/>
        </w:rPr>
        <w:t>i</w:t>
      </w:r>
      <w:r>
        <w:rPr>
          <w:vertAlign w:val="superscript"/>
        </w:rPr>
        <w:t xml:space="preserve">* </w:t>
      </w:r>
      <w:r>
        <w:rPr/>
        <w:t>+ (1- P</w:t>
      </w:r>
      <w:r>
        <w:rPr>
          <w:vertAlign w:val="subscript"/>
        </w:rPr>
        <w:t>i</w:t>
      </w:r>
      <w:r>
        <w:rPr/>
        <w:t>) (1- P</w:t>
      </w:r>
      <w:r>
        <w:rPr>
          <w:vertAlign w:val="subscript"/>
        </w:rPr>
        <w:t>i</w:t>
      </w:r>
      <w:r>
        <w:rPr>
          <w:vertAlign w:val="superscript"/>
        </w:rPr>
        <w:t>*</w:t>
      </w:r>
      <w:r>
        <w:rPr/>
        <w:t xml:space="preserve">)] Where pi represents the predicted probability that anchor point i is the target; p i represents the predicted value of the corresponding real area label; lb represents the log loss function [23]. </w:t>
      </w:r>
      <w:r>
        <w:rPr>
          <w:rStyle w:val="Mi"/>
          <w:color w:val="252525"/>
          <w:shd w:fill="FFFFFF" w:val="clear"/>
        </w:rPr>
        <w:t xml:space="preserve">Lbox </w:t>
      </w:r>
      <w:r>
        <w:rPr/>
        <w:t>(t</w:t>
      </w:r>
      <w:r>
        <w:rPr>
          <w:vertAlign w:val="subscript"/>
        </w:rPr>
        <w:t>i</w:t>
      </w:r>
      <w:r>
        <w:rPr/>
        <w:t>,t</w:t>
      </w:r>
      <w:r>
        <w:rPr>
          <w:vertAlign w:val="subscript"/>
        </w:rPr>
        <w:t>i</w:t>
      </w:r>
      <w:r>
        <w:rPr>
          <w:vertAlign w:val="superscript"/>
        </w:rPr>
        <w:t>*</w:t>
      </w:r>
      <w:r>
        <w:rPr/>
        <w:t>)= R(t</w:t>
      </w:r>
      <w:r>
        <w:rPr>
          <w:vertAlign w:val="subscript"/>
        </w:rPr>
        <w:t>i</w:t>
      </w:r>
      <w:r>
        <w:rPr/>
        <w:t>- t</w:t>
      </w:r>
      <w:r>
        <w:rPr>
          <w:vertAlign w:val="subscript"/>
        </w:rPr>
        <w:t>i</w:t>
      </w:r>
      <w:r>
        <w:rPr>
          <w:vertAlign w:val="superscript"/>
        </w:rPr>
        <w:t>*</w:t>
      </w:r>
      <w:r>
        <w:rPr/>
        <w:t>) t</w:t>
      </w:r>
      <w:r>
        <w:rPr>
          <w:vertAlign w:val="subscript"/>
        </w:rPr>
        <w:t>i</w:t>
      </w:r>
      <w:r>
        <w:rPr/>
        <w:t xml:space="preserve"> signifies the four parameterized coordinate vectors of the predicted frame; t i signifies the coordinate vector corresponding to the border of the real area [24]. The total loss function as Lall=Lcls + Lbox + Lmask, where Lcls, Lbox, Lmask represent the classification loss, bounding box loss and the average binary cross-entropy loss respectively [22]. The total architecture is shown below in Figure 1. Next, chose YOLOv7 because of its speed and efficiency.</w:t>
      </w:r>
    </w:p>
    <w:p>
      <w:pPr>
        <w:pStyle w:val="Normal"/>
        <w:spacing w:lineRule="auto" w:line="240" w:before="0" w:after="0"/>
        <w:jc w:val="both"/>
        <w:rPr/>
      </w:pPr>
      <w:r>
        <w:rPr/>
      </w:r>
    </w:p>
    <w:p>
      <w:pPr>
        <w:pStyle w:val="Normal"/>
        <w:spacing w:lineRule="auto" w:line="240" w:before="0" w:after="0"/>
        <w:jc w:val="both"/>
        <w:rPr>
          <w:b/>
          <w:b/>
          <w:bCs/>
        </w:rPr>
      </w:pPr>
      <w:r>
        <w:rPr/>
        <w:drawing>
          <wp:inline distT="0" distB="0" distL="0" distR="0">
            <wp:extent cx="5803900" cy="3264535"/>
            <wp:effectExtent l="0" t="0" r="0" b="0"/>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2"/>
                    <a:stretch>
                      <a:fillRect/>
                    </a:stretch>
                  </pic:blipFill>
                  <pic:spPr bwMode="auto">
                    <a:xfrm>
                      <a:off x="0" y="0"/>
                      <a:ext cx="5803900" cy="3264535"/>
                    </a:xfrm>
                    <a:prstGeom prst="rect">
                      <a:avLst/>
                    </a:prstGeom>
                  </pic:spPr>
                </pic:pic>
              </a:graphicData>
            </a:graphic>
          </wp:inline>
        </w:drawing>
      </w:r>
    </w:p>
    <w:p>
      <w:pPr>
        <w:pStyle w:val="Normal"/>
        <w:spacing w:lineRule="auto" w:line="240" w:before="0" w:after="0"/>
        <w:jc w:val="both"/>
        <w:rPr>
          <w:b/>
          <w:b/>
          <w:bCs/>
        </w:rPr>
      </w:pPr>
      <w:r>
        <w:rPr>
          <w:b/>
          <w:bCs/>
        </w:rPr>
        <w:t xml:space="preserve">                                                        </w:t>
      </w:r>
      <w:r>
        <w:rPr>
          <w:b/>
          <w:bCs/>
        </w:rPr>
        <w:t>Figure 1</w:t>
      </w:r>
    </w:p>
    <w:p>
      <w:pPr>
        <w:pStyle w:val="Normal"/>
        <w:spacing w:lineRule="auto" w:line="240" w:before="0" w:after="0"/>
        <w:jc w:val="both"/>
        <w:rPr>
          <w:b/>
          <w:b/>
          <w:bCs/>
        </w:rPr>
      </w:pPr>
      <w:r>
        <w:rPr>
          <w:b/>
          <w:bCs/>
        </w:rPr>
        <w:t>YOLOv7</w:t>
      </w:r>
    </w:p>
    <w:p>
      <w:pPr>
        <w:pStyle w:val="Normal"/>
        <w:spacing w:lineRule="auto" w:line="240" w:before="0" w:after="0"/>
        <w:jc w:val="both"/>
        <w:rPr/>
      </w:pPr>
      <w:r>
        <w:rPr/>
      </w:r>
    </w:p>
    <w:p>
      <w:pPr>
        <w:pStyle w:val="Normal"/>
        <w:spacing w:lineRule="auto" w:line="240" w:before="0" w:after="0"/>
        <w:jc w:val="both"/>
        <w:rPr>
          <w:rFonts w:eastAsia="Times New Roman"/>
          <w:color w:val="222222"/>
          <w:kern w:val="0"/>
          <w:lang w:bidi="ar-SA"/>
        </w:rPr>
      </w:pPr>
      <w:r>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function of Yolov7 is </w:t>
      </w:r>
      <w:r>
        <w:rPr>
          <w:rStyle w:val="Mi"/>
          <w:rFonts w:cs="Cambria Math" w:ascii="Cambria Math" w:hAnsi="Cambria Math"/>
          <w:color w:val="222222"/>
          <w:shd w:fill="FFFFFF" w:val="clear"/>
        </w:rPr>
        <w:t>𝐿𝑡𝑜𝑡𝑎𝑙</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𝐿𝑜𝑏𝑗</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𝐿𝑏𝑜𝑥</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𝐿𝑐𝑙𝑠</w:t>
      </w:r>
      <w:r>
        <w:rPr>
          <w:rStyle w:val="Mo"/>
          <w:color w:val="222222"/>
          <w:shd w:fill="FFFFFF" w:val="clear"/>
        </w:rPr>
        <w:t>_</w:t>
      </w:r>
      <w:r>
        <w:rPr>
          <w:rStyle w:val="Mi"/>
          <w:rFonts w:cs="Cambria Math" w:ascii="Cambria Math" w:hAnsi="Cambria Math"/>
          <w:color w:val="222222"/>
          <w:shd w:fill="FFFFFF" w:val="clear"/>
        </w:rPr>
        <w:t>𝑙𝑜𝑠𝑠</w:t>
      </w:r>
      <w:r>
        <w:rPr>
          <w:rStyle w:val="Mi"/>
          <w:color w:val="222222"/>
          <w:shd w:fill="FFFFFF" w:val="clear"/>
        </w:rPr>
        <w:t>.</w:t>
      </w:r>
      <w:r>
        <w:rPr>
          <w:color w:val="222222"/>
          <w:shd w:fill="FFFFFF" w:val="clear"/>
        </w:rPr>
        <w:t xml:space="preserve">  BCE cross-entropy loss formula is represented as </w:t>
      </w:r>
      <w:r>
        <w:rPr>
          <w:rFonts w:eastAsia="Times New Roman"/>
          <w:color w:val="222222"/>
          <w:kern w:val="0"/>
          <w:lang w:bidi="ar-SA"/>
        </w:rPr>
        <w:t>Ln=−w</w:t>
      </w:r>
      <w:r>
        <w:rPr>
          <w:rFonts w:eastAsia="Times New Roman"/>
          <w:color w:val="222222"/>
          <w:kern w:val="0"/>
          <w:vertAlign w:val="subscript"/>
          <w:lang w:bidi="ar-SA"/>
        </w:rPr>
        <w:t>n</w:t>
      </w:r>
      <w:r>
        <w:rPr>
          <w:rFonts w:eastAsia="Times New Roman"/>
          <w:color w:val="222222"/>
          <w:kern w:val="0"/>
          <w:lang w:bidi="ar-SA"/>
        </w:rPr>
        <w:t>[y</w:t>
      </w:r>
      <w:r>
        <w:rPr>
          <w:rFonts w:eastAsia="Times New Roman"/>
          <w:color w:val="222222"/>
          <w:kern w:val="0"/>
          <w:vertAlign w:val="subscript"/>
          <w:lang w:bidi="ar-SA"/>
        </w:rPr>
        <w:t>n</w:t>
      </w:r>
      <w:r>
        <w:rPr>
          <w:rFonts w:eastAsia="Times New Roman"/>
          <w:color w:val="222222"/>
          <w:kern w:val="0"/>
          <w:lang w:bidi="ar-SA"/>
        </w:rPr>
        <w:t>*logσ(x</w:t>
      </w:r>
      <w:r>
        <w:rPr>
          <w:rFonts w:eastAsia="Times New Roman"/>
          <w:color w:val="222222"/>
          <w:kern w:val="0"/>
          <w:vertAlign w:val="subscript"/>
          <w:lang w:bidi="ar-SA"/>
        </w:rPr>
        <w:t>n</w:t>
      </w:r>
      <w:r>
        <w:rPr>
          <w:rFonts w:eastAsia="Times New Roman"/>
          <w:color w:val="222222"/>
          <w:kern w:val="0"/>
          <w:lang w:bidi="ar-SA"/>
        </w:rPr>
        <w:t>)+(1−y</w:t>
      </w:r>
      <w:r>
        <w:rPr>
          <w:rFonts w:eastAsia="Times New Roman"/>
          <w:color w:val="222222"/>
          <w:kern w:val="0"/>
          <w:vertAlign w:val="subscript"/>
          <w:lang w:bidi="ar-SA"/>
        </w:rPr>
        <w:t>n</w:t>
      </w:r>
      <w:r>
        <w:rPr>
          <w:rFonts w:eastAsia="Times New Roman"/>
          <w:color w:val="222222"/>
          <w:kern w:val="0"/>
          <w:lang w:bidi="ar-SA"/>
        </w:rPr>
        <w:t>)*log(1−σ(x</w:t>
      </w:r>
      <w:r>
        <w:rPr>
          <w:rFonts w:eastAsia="Times New Roman"/>
          <w:color w:val="222222"/>
          <w:kern w:val="0"/>
          <w:vertAlign w:val="subscript"/>
          <w:lang w:bidi="ar-SA"/>
        </w:rPr>
        <w:t>n</w:t>
      </w:r>
      <w:r>
        <w:rPr>
          <w:rFonts w:eastAsia="Times New Roman"/>
          <w:color w:val="222222"/>
          <w:kern w:val="0"/>
          <w:lang w:bidi="ar-SA"/>
        </w:rPr>
        <w:t>))] and σ(x</w:t>
      </w:r>
      <w:r>
        <w:rPr>
          <w:rFonts w:eastAsia="Times New Roman"/>
          <w:color w:val="222222"/>
          <w:kern w:val="0"/>
          <w:vertAlign w:val="subscript"/>
          <w:lang w:bidi="ar-SA"/>
        </w:rPr>
        <w:t>n</w:t>
      </w:r>
      <w:r>
        <w:rPr>
          <w:rFonts w:eastAsia="Times New Roman"/>
          <w:color w:val="222222"/>
          <w:kern w:val="0"/>
          <w:lang w:bidi="ar-SA"/>
        </w:rPr>
        <w:t xml:space="preserve">)=1/(1+(e)^-x </w:t>
      </w:r>
      <w:r>
        <w:rPr>
          <w:color w:val="222222"/>
          <w:shd w:fill="FFFFFF" w:val="clear"/>
        </w:rPr>
        <w:t>where </w:t>
      </w:r>
      <w:r>
        <w:rPr>
          <w:rStyle w:val="Mi"/>
          <w:color w:val="222222"/>
          <w:shd w:fill="FFFFFF" w:val="clear"/>
        </w:rPr>
        <w:t>σ</w:t>
      </w:r>
      <w:r>
        <w:rPr>
          <w:rStyle w:val="Mo"/>
          <w:color w:val="222222"/>
          <w:shd w:fill="FFFFFF" w:val="clear"/>
        </w:rPr>
        <w:t>(</w:t>
      </w:r>
      <w:r>
        <w:rPr>
          <w:rFonts w:eastAsia="Times New Roman"/>
          <w:color w:val="222222"/>
          <w:kern w:val="0"/>
          <w:lang w:bidi="ar-SA"/>
        </w:rPr>
        <w:t>x</w:t>
      </w:r>
      <w:r>
        <w:rPr>
          <w:rFonts w:eastAsia="Times New Roman"/>
          <w:color w:val="222222"/>
          <w:kern w:val="0"/>
          <w:vertAlign w:val="subscript"/>
          <w:lang w:bidi="ar-SA"/>
        </w:rPr>
        <w:t>n</w:t>
      </w:r>
      <w:r>
        <w:rPr>
          <w:rStyle w:val="Mo"/>
          <w:color w:val="222222"/>
          <w:shd w:fill="FFFFFF" w:val="clear"/>
        </w:rPr>
        <w:t>)</w:t>
      </w:r>
      <w:r>
        <w:rPr>
          <w:rStyle w:val="Mjxassistivemathml"/>
          <w:color w:val="222222"/>
          <w:shd w:fill="FFFFFF" w:val="clear"/>
        </w:rPr>
        <w:t xml:space="preserve"> </w:t>
      </w:r>
      <w:r>
        <w:rPr>
          <w:color w:val="222222"/>
          <w:shd w:fill="FFFFFF" w:val="clear"/>
        </w:rPr>
        <w:t>represents the sigmoid function, </w:t>
      </w:r>
      <w:r>
        <w:rPr>
          <w:rStyle w:val="Mi"/>
          <w:color w:val="222222"/>
          <w:shd w:fill="FFFFFF" w:val="clear"/>
        </w:rPr>
        <w:t>w</w:t>
      </w:r>
      <w:r>
        <w:rPr>
          <w:rStyle w:val="Mi"/>
          <w:color w:val="222222"/>
          <w:shd w:fill="FFFFFF" w:val="clear"/>
          <w:vertAlign w:val="subscript"/>
        </w:rPr>
        <w:t>n</w:t>
      </w:r>
      <w:r>
        <w:rPr>
          <w:color w:val="222222"/>
          <w:shd w:fill="FFFFFF" w:val="clear"/>
        </w:rPr>
        <w:t> signifies the average of the results, and </w:t>
      </w:r>
      <w:r>
        <w:rPr>
          <w:rFonts w:eastAsia="Times New Roman"/>
          <w:color w:val="222222"/>
          <w:kern w:val="0"/>
          <w:lang w:bidi="ar-SA"/>
        </w:rPr>
        <w:t>y</w:t>
      </w:r>
      <w:r>
        <w:rPr>
          <w:rFonts w:eastAsia="Times New Roman"/>
          <w:color w:val="222222"/>
          <w:kern w:val="0"/>
          <w:vertAlign w:val="subscript"/>
          <w:lang w:bidi="ar-SA"/>
        </w:rPr>
        <w:t>n</w:t>
      </w:r>
      <w:r>
        <w:rPr>
          <w:color w:val="222222"/>
          <w:shd w:fill="FFFFFF" w:val="clear"/>
        </w:rPr>
        <w:t> signifies the real sample label</w:t>
      </w:r>
      <w:r>
        <w:rPr>
          <w:rFonts w:eastAsia="Times New Roman"/>
          <w:color w:val="222222"/>
          <w:kern w:val="0"/>
          <w:lang w:bidi="ar-SA"/>
        </w:rPr>
        <w:t>. Intersection of Union (</w:t>
      </w:r>
      <w:r>
        <w:rPr>
          <w:rFonts w:eastAsia="Times New Roman" w:cs="Cambria Math" w:ascii="Cambria Math" w:hAnsi="Cambria Math"/>
          <w:color w:val="222222"/>
          <w:kern w:val="0"/>
          <w:lang w:bidi="ar-SA"/>
        </w:rPr>
        <w:t>𝐼𝑜𝑈</w:t>
      </w:r>
      <w:r>
        <w:rPr>
          <w:rFonts w:eastAsia="Times New Roman"/>
          <w:color w:val="222222"/>
          <w:kern w:val="0"/>
          <w:lang w:bidi="ar-SA"/>
        </w:rPr>
        <w:t>)=(|</w:t>
      </w:r>
      <w:r>
        <w:rPr>
          <w:rFonts w:eastAsia="Times New Roman" w:cs="Cambria Math" w:ascii="Cambria Math" w:hAnsi="Cambria Math"/>
          <w:color w:val="222222"/>
          <w:kern w:val="0"/>
          <w:lang w:bidi="ar-SA"/>
        </w:rPr>
        <w:t>𝐴</w:t>
      </w:r>
      <w:r>
        <w:rPr>
          <w:rFonts w:eastAsia="Times New Roman"/>
          <w:color w:val="222222"/>
          <w:kern w:val="0"/>
          <w:lang w:bidi="ar-SA"/>
        </w:rPr>
        <w:t>∩</w:t>
      </w:r>
      <w:r>
        <w:rPr>
          <w:rFonts w:eastAsia="Times New Roman" w:cs="Cambria Math" w:ascii="Cambria Math" w:hAnsi="Cambria Math"/>
          <w:color w:val="222222"/>
          <w:kern w:val="0"/>
          <w:lang w:bidi="ar-SA"/>
        </w:rPr>
        <w:t>𝐵</w:t>
      </w:r>
      <w:r>
        <w:rPr>
          <w:rFonts w:eastAsia="Times New Roman"/>
          <w:color w:val="222222"/>
          <w:kern w:val="0"/>
          <w:lang w:bidi="ar-SA"/>
        </w:rPr>
        <w:t>|) / (|</w:t>
      </w:r>
      <w:r>
        <w:rPr>
          <w:rFonts w:eastAsia="Times New Roman" w:cs="Cambria Math" w:ascii="Cambria Math" w:hAnsi="Cambria Math"/>
          <w:color w:val="222222"/>
          <w:kern w:val="0"/>
          <w:lang w:bidi="ar-SA"/>
        </w:rPr>
        <w:t>𝐴∪𝐵</w:t>
      </w:r>
      <w:r>
        <w:rPr>
          <w:rFonts w:eastAsia="Times New Roman"/>
          <w:color w:val="222222"/>
          <w:kern w:val="0"/>
          <w:lang w:bidi="ar-SA"/>
        </w:rPr>
        <w:t>|) where A represents the predicted frame, B represents the real frame. YOLOV7 uses CIoU loss. In the below Figure 5 loss function formulae of YOLOv7 are mentioned.</w:t>
      </w:r>
    </w:p>
    <w:p>
      <w:pPr>
        <w:pStyle w:val="Normal"/>
        <w:spacing w:lineRule="auto" w:line="240" w:before="0" w:after="0"/>
        <w:jc w:val="both"/>
        <w:rPr>
          <w:rFonts w:eastAsia="Times New Roman"/>
          <w:color w:val="222222"/>
          <w:kern w:val="0"/>
          <w:lang w:bidi="ar-SA"/>
        </w:rPr>
      </w:pPr>
      <w:r>
        <w:rPr>
          <w:rFonts w:eastAsia="Times New Roman"/>
          <w:color w:val="222222"/>
          <w:kern w:val="0"/>
          <w:lang w:bidi="ar-SA"/>
        </w:rPr>
        <w:drawing>
          <wp:anchor behindDoc="0" distT="0" distB="0" distL="114300" distR="114300" simplePos="0" locked="0" layoutInCell="0" allowOverlap="1" relativeHeight="10">
            <wp:simplePos x="0" y="0"/>
            <wp:positionH relativeFrom="column">
              <wp:posOffset>139700</wp:posOffset>
            </wp:positionH>
            <wp:positionV relativeFrom="paragraph">
              <wp:posOffset>129540</wp:posOffset>
            </wp:positionV>
            <wp:extent cx="1930400" cy="1972945"/>
            <wp:effectExtent l="0" t="0" r="0" b="0"/>
            <wp:wrapSquare wrapText="bothSides"/>
            <wp:docPr id="2"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math equations on a white background&#10;&#10;Description automatically generated"/>
                    <pic:cNvPicPr>
                      <a:picLocks noChangeAspect="1" noChangeArrowheads="1"/>
                    </pic:cNvPicPr>
                  </pic:nvPicPr>
                  <pic:blipFill>
                    <a:blip r:embed="rId3"/>
                    <a:stretch>
                      <a:fillRect/>
                    </a:stretch>
                  </pic:blipFill>
                  <pic:spPr bwMode="auto">
                    <a:xfrm>
                      <a:off x="0" y="0"/>
                      <a:ext cx="1930400" cy="1972945"/>
                    </a:xfrm>
                    <a:prstGeom prst="rect">
                      <a:avLst/>
                    </a:prstGeom>
                  </pic:spPr>
                </pic:pic>
              </a:graphicData>
            </a:graphic>
          </wp:anchor>
        </w:drawing>
      </w:r>
    </w:p>
    <w:p>
      <w:pPr>
        <w:pStyle w:val="Normal"/>
        <w:spacing w:lineRule="auto" w:line="240" w:before="0" w:after="0"/>
        <w:jc w:val="both"/>
        <w:rPr>
          <w:rFonts w:eastAsia="Times New Roman"/>
          <w:color w:val="222222"/>
          <w:kern w:val="0"/>
          <w:lang w:bidi="ar-SA"/>
        </w:rPr>
      </w:pPr>
      <w:r>
        <w:rPr>
          <w:rFonts w:eastAsia="Times New Roman"/>
          <w:color w:val="222222"/>
          <w:kern w:val="0"/>
          <w:lang w:bidi="ar-SA"/>
        </w:rPr>
        <w:t xml:space="preserve">Here, v is to measure the aspect ratio's consistency, α is the weight function. The projected bounding box's width and height are represented by </w:t>
      </w:r>
      <w:r>
        <w:rPr>
          <w:rFonts w:eastAsia="Times New Roman" w:cs="Cambria Math" w:ascii="Cambria Math" w:hAnsi="Cambria Math"/>
          <w:color w:val="222222"/>
          <w:kern w:val="0"/>
          <w:lang w:bidi="ar-SA"/>
        </w:rPr>
        <w:t>𝑤</w:t>
      </w:r>
      <w:r>
        <w:rPr>
          <w:rFonts w:eastAsia="Times New Roman"/>
          <w:color w:val="222222"/>
          <w:kern w:val="0"/>
          <w:lang w:bidi="ar-SA"/>
        </w:rPr>
        <w:t xml:space="preserve"> and </w:t>
      </w:r>
      <w:r>
        <w:rPr>
          <w:rFonts w:eastAsia="Times New Roman" w:cs="Cambria Math" w:ascii="Cambria Math" w:hAnsi="Cambria Math"/>
          <w:color w:val="222222"/>
          <w:kern w:val="0"/>
          <w:lang w:bidi="ar-SA"/>
        </w:rPr>
        <w:t>ℎ</w:t>
      </w:r>
      <w:r>
        <w:rPr>
          <w:rFonts w:eastAsia="Times New Roman"/>
          <w:color w:val="222222"/>
          <w:kern w:val="0"/>
          <w:lang w:bidi="ar-SA"/>
        </w:rPr>
        <w:t xml:space="preserve">, respectively, the ground truth bounding box's width and height are represented by </w:t>
      </w:r>
      <w:r>
        <w:rPr>
          <w:rFonts w:eastAsia="Times New Roman" w:cs="Cambria Math" w:ascii="Cambria Math" w:hAnsi="Cambria Math"/>
          <w:color w:val="222222"/>
          <w:kern w:val="0"/>
          <w:lang w:bidi="ar-SA"/>
        </w:rPr>
        <w:t>𝑤</w:t>
      </w:r>
      <w:r>
        <w:rPr>
          <w:rFonts w:eastAsia="Times New Roman"/>
          <w:color w:val="222222"/>
          <w:kern w:val="0"/>
          <w:vertAlign w:val="superscript"/>
          <w:lang w:bidi="ar-SA"/>
        </w:rPr>
        <w:t>gt</w:t>
      </w:r>
      <w:r>
        <w:rPr>
          <w:rFonts w:eastAsia="Times New Roman"/>
          <w:color w:val="222222"/>
          <w:kern w:val="0"/>
          <w:lang w:bidi="ar-SA"/>
        </w:rPr>
        <w:t xml:space="preserve"> and </w:t>
      </w:r>
      <w:r>
        <w:rPr>
          <w:rFonts w:eastAsia="Times New Roman" w:cs="Cambria Math" w:ascii="Cambria Math" w:hAnsi="Cambria Math"/>
          <w:color w:val="222222"/>
          <w:kern w:val="0"/>
          <w:lang w:bidi="ar-SA"/>
        </w:rPr>
        <w:t>ℎ</w:t>
      </w:r>
      <w:r>
        <w:rPr>
          <w:rFonts w:eastAsia="Times New Roman"/>
          <w:color w:val="222222"/>
          <w:kern w:val="0"/>
          <w:vertAlign w:val="superscript"/>
          <w:lang w:bidi="ar-SA"/>
        </w:rPr>
        <w:t>gt</w:t>
      </w:r>
      <w:r>
        <w:rPr>
          <w:rFonts w:eastAsia="Times New Roman"/>
          <w:color w:val="222222"/>
          <w:kern w:val="0"/>
          <w:lang w:bidi="ar-SA"/>
        </w:rPr>
        <w:t xml:space="preserve">. The diagonal distance of a bounding box that may at least contain the two bounding boxes is denoted by c, and the center point distance between two bounding boxes is represented by </w:t>
      </w:r>
      <w:r>
        <w:rPr>
          <w:rFonts w:eastAsia="Times New Roman" w:cs="Cambria Math" w:ascii="Cambria Math" w:hAnsi="Cambria Math"/>
          <w:color w:val="222222"/>
          <w:kern w:val="0"/>
          <w:lang w:bidi="ar-SA"/>
        </w:rPr>
        <w:t>𝜌</w:t>
      </w:r>
      <w:r>
        <w:rPr>
          <w:rFonts w:eastAsia="Times New Roman"/>
          <w:color w:val="222222"/>
          <w:kern w:val="0"/>
          <w:vertAlign w:val="superscript"/>
          <w:lang w:bidi="ar-SA"/>
        </w:rPr>
        <w:t>2</w:t>
      </w:r>
      <w:r>
        <w:rPr>
          <w:rFonts w:eastAsia="Times New Roman"/>
          <w:color w:val="222222"/>
          <w:kern w:val="0"/>
          <w:lang w:bidi="ar-SA"/>
        </w:rPr>
        <w:t xml:space="preserve"> (b, bgt) </w:t>
      </w:r>
      <w:r>
        <w:rPr>
          <w:rFonts w:eastAsia="Times New Roman"/>
          <w:color w:val="222222"/>
          <w:kern w:val="0"/>
          <w:lang w:bidi="ar-SA"/>
        </w:rPr>
        <w:t>[25]</w:t>
      </w:r>
      <w:r>
        <w:rPr>
          <w:rFonts w:eastAsia="Times New Roman"/>
          <w:color w:val="222222"/>
          <w:kern w:val="0"/>
          <w:lang w:bidi="ar-SA"/>
        </w:rPr>
        <w:t xml:space="preserve">. Finally, chose YOLOv8 as the latest version of the YOLO family whose accuracy and speed are higher than previous versions. Below figure 2 is YOLOv7 architecture. </w:t>
      </w:r>
    </w:p>
    <w:p>
      <w:pPr>
        <w:pStyle w:val="Normal"/>
        <w:spacing w:lineRule="auto" w:line="240" w:before="0" w:after="0"/>
        <w:jc w:val="both"/>
        <w:rPr/>
      </w:pPr>
      <w:r>
        <w:rPr/>
        <w:drawing>
          <wp:inline distT="0" distB="0" distL="0" distR="0">
            <wp:extent cx="5810250" cy="5272405"/>
            <wp:effectExtent l="0" t="0" r="0" b="0"/>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4"/>
                    <a:stretch>
                      <a:fillRect/>
                    </a:stretch>
                  </pic:blipFill>
                  <pic:spPr bwMode="auto">
                    <a:xfrm>
                      <a:off x="0" y="0"/>
                      <a:ext cx="5810250" cy="5272405"/>
                    </a:xfrm>
                    <a:prstGeom prst="rect">
                      <a:avLst/>
                    </a:prstGeom>
                  </pic:spPr>
                </pic:pic>
              </a:graphicData>
            </a:graphic>
          </wp:inline>
        </w:drawing>
      </w:r>
    </w:p>
    <w:p>
      <w:pPr>
        <w:pStyle w:val="Normal"/>
        <w:spacing w:lineRule="auto" w:line="240" w:before="0" w:after="0"/>
        <w:jc w:val="both"/>
        <w:rPr>
          <w:b/>
          <w:b/>
          <w:bCs/>
        </w:rPr>
      </w:pPr>
      <w:r>
        <w:rPr>
          <w:b/>
          <w:bCs/>
        </w:rPr>
        <w:t xml:space="preserve">                                                        </w:t>
      </w:r>
      <w:r>
        <w:rPr>
          <w:b/>
          <w:bCs/>
        </w:rPr>
        <w:t xml:space="preserve">Figure 2 </w:t>
      </w:r>
    </w:p>
    <w:p>
      <w:pPr>
        <w:pStyle w:val="Normal"/>
        <w:spacing w:lineRule="auto" w:line="240" w:before="0" w:after="0"/>
        <w:jc w:val="both"/>
        <w:rPr>
          <w:b/>
          <w:b/>
          <w:bCs/>
        </w:rPr>
      </w:pPr>
      <w:r>
        <w:rPr>
          <w:b/>
          <w:bCs/>
        </w:rPr>
        <w:t>YOLOv8</w:t>
      </w:r>
    </w:p>
    <w:p>
      <w:pPr>
        <w:pStyle w:val="Normal"/>
        <w:spacing w:lineRule="auto" w:line="240" w:before="0" w:after="0"/>
        <w:jc w:val="both"/>
        <w:rPr/>
      </w:pPr>
      <w:r>
        <w:rPr/>
      </w:r>
    </w:p>
    <w:p>
      <w:pPr>
        <w:pStyle w:val="Normal"/>
        <w:spacing w:lineRule="auto" w:line="240" w:before="0" w:after="0"/>
        <w:jc w:val="both"/>
        <w:rPr>
          <w:rFonts w:eastAsia="Times New Roman"/>
          <w:color w:val="0E101A"/>
          <w:kern w:val="0"/>
          <w:lang w:bidi="ar-SA"/>
        </w:rPr>
      </w:pPr>
      <w:bookmarkStart w:id="1" w:name="_Hlk154901181"/>
      <w:r>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 Below Figure 3 is YOLOv8 architecture. Below Figure 4 are equations of DFL [26].</w:t>
      </w:r>
    </w:p>
    <w:p>
      <w:pPr>
        <w:pStyle w:val="Normal"/>
        <w:spacing w:lineRule="auto" w:line="240" w:before="0" w:after="0"/>
        <w:jc w:val="both"/>
        <w:rPr>
          <w:rFonts w:eastAsia="Times New Roman"/>
          <w:color w:val="0E101A"/>
          <w:kern w:val="0"/>
          <w:lang w:bidi="ar-SA"/>
        </w:rPr>
      </w:pPr>
      <w:r>
        <w:rPr>
          <w:rFonts w:eastAsia="Times New Roman"/>
          <w:color w:val="0E101A"/>
          <w:kern w:val="0"/>
          <w:lang w:bidi="ar-SA"/>
        </w:rPr>
      </w:r>
    </w:p>
    <w:p>
      <w:pPr>
        <w:pStyle w:val="Normal"/>
        <w:spacing w:lineRule="auto" w:line="240" w:before="0" w:after="0"/>
        <w:jc w:val="both"/>
        <w:rPr>
          <w:rFonts w:eastAsia="Times New Roman"/>
          <w:color w:val="0E101A"/>
          <w:kern w:val="0"/>
          <w:lang w:bidi="ar-SA"/>
        </w:rPr>
      </w:pPr>
      <w:bookmarkStart w:id="2" w:name="_Hlk154901181"/>
      <w:r>
        <w:rPr/>
        <w:drawing>
          <wp:inline distT="0" distB="0" distL="0" distR="0">
            <wp:extent cx="3644900" cy="2334260"/>
            <wp:effectExtent l="0" t="0" r="0" b="0"/>
            <wp:docPr id="4" name="Image2"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white background with black text"/>
                    <pic:cNvPicPr>
                      <a:picLocks noChangeAspect="1" noChangeArrowheads="1"/>
                    </pic:cNvPicPr>
                  </pic:nvPicPr>
                  <pic:blipFill>
                    <a:blip r:embed="rId5"/>
                    <a:stretch>
                      <a:fillRect/>
                    </a:stretch>
                  </pic:blipFill>
                  <pic:spPr bwMode="auto">
                    <a:xfrm>
                      <a:off x="0" y="0"/>
                      <a:ext cx="3644900" cy="2334260"/>
                    </a:xfrm>
                    <a:prstGeom prst="rect">
                      <a:avLst/>
                    </a:prstGeom>
                  </pic:spPr>
                </pic:pic>
              </a:graphicData>
            </a:graphic>
          </wp:inline>
        </w:drawing>
      </w:r>
      <w:bookmarkEnd w:id="2"/>
    </w:p>
    <w:p>
      <w:pPr>
        <w:pStyle w:val="Normal"/>
        <w:spacing w:lineRule="auto" w:line="240" w:before="0" w:after="0"/>
        <w:ind w:left="1440" w:firstLine="720"/>
        <w:jc w:val="both"/>
        <w:rPr>
          <w:rFonts w:eastAsia="Times New Roman"/>
          <w:b/>
          <w:b/>
          <w:bCs/>
          <w:color w:val="0E101A"/>
          <w:kern w:val="0"/>
          <w:lang w:bidi="ar-SA"/>
        </w:rPr>
      </w:pPr>
      <w:r>
        <w:rPr>
          <w:rFonts w:eastAsia="Times New Roman"/>
          <w:b/>
          <w:bCs/>
          <w:color w:val="0E101A"/>
          <w:kern w:val="0"/>
          <w:lang w:bidi="ar-SA"/>
        </w:rPr>
        <w:t xml:space="preserve">                   </w:t>
      </w:r>
      <w:r>
        <w:rPr>
          <w:rFonts w:eastAsia="Times New Roman"/>
          <w:b/>
          <w:bCs/>
          <w:color w:val="0E101A"/>
          <w:kern w:val="0"/>
          <w:lang w:bidi="ar-SA"/>
        </w:rPr>
        <w:t>Figure 4</w:t>
      </w:r>
    </w:p>
    <w:p>
      <w:pPr>
        <w:pStyle w:val="Normal"/>
        <w:spacing w:lineRule="auto" w:line="240" w:before="0" w:after="0"/>
        <w:ind w:left="3600" w:firstLine="720"/>
        <w:jc w:val="both"/>
        <w:rPr>
          <w:rFonts w:eastAsia="Times New Roman"/>
          <w:b/>
          <w:b/>
          <w:bCs/>
          <w:color w:val="0E101A"/>
          <w:kern w:val="0"/>
          <w:lang w:bidi="ar-SA"/>
        </w:rPr>
      </w:pPr>
      <w:r>
        <w:rPr>
          <w:rFonts w:eastAsia="Times New Roman"/>
          <w:b/>
          <w:bCs/>
          <w:color w:val="0E101A"/>
          <w:kern w:val="0"/>
          <w:lang w:bidi="ar-SA"/>
        </w:rPr>
      </w:r>
      <w:bookmarkStart w:id="3" w:name="_Hlk149132419"/>
      <w:bookmarkStart w:id="4" w:name="_Hlk149132419"/>
      <w:bookmarkEnd w:id="4"/>
    </w:p>
    <w:p>
      <w:pPr>
        <w:pStyle w:val="Normal"/>
        <w:spacing w:lineRule="auto" w:line="240" w:before="0" w:after="0"/>
        <w:jc w:val="both"/>
        <w:rPr/>
      </w:pPr>
      <w:r>
        <w:rPr/>
        <w:drawing>
          <wp:inline distT="0" distB="0" distL="0" distR="0">
            <wp:extent cx="6012180" cy="5295900"/>
            <wp:effectExtent l="0" t="0" r="0" b="0"/>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6"/>
                    <a:stretch>
                      <a:fillRect/>
                    </a:stretch>
                  </pic:blipFill>
                  <pic:spPr bwMode="auto">
                    <a:xfrm>
                      <a:off x="0" y="0"/>
                      <a:ext cx="6012180" cy="5295900"/>
                    </a:xfrm>
                    <a:prstGeom prst="rect">
                      <a:avLst/>
                    </a:prstGeom>
                  </pic:spPr>
                </pic:pic>
              </a:graphicData>
            </a:graphic>
          </wp:inline>
        </w:drawing>
      </w:r>
    </w:p>
    <w:p>
      <w:pPr>
        <w:pStyle w:val="Normal"/>
        <w:spacing w:lineRule="auto" w:line="240" w:before="0" w:after="0"/>
        <w:jc w:val="both"/>
        <w:rPr>
          <w:b/>
          <w:b/>
          <w:bCs/>
        </w:rPr>
      </w:pPr>
      <w:r>
        <w:rPr>
          <w:rFonts w:eastAsia="Times New Roman"/>
          <w:b/>
          <w:bCs/>
          <w:color w:val="0E101A"/>
          <w:kern w:val="0"/>
          <w:lang w:bidi="ar-SA"/>
        </w:rPr>
        <w:t xml:space="preserve">                                                      </w:t>
      </w:r>
      <w:r>
        <w:rPr>
          <w:rFonts w:eastAsia="Times New Roman"/>
          <w:b/>
          <w:bCs/>
          <w:color w:val="0E101A"/>
          <w:kern w:val="0"/>
          <w:lang w:bidi="ar-SA"/>
        </w:rPr>
        <w:t>Figure 3</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Our research and results</w:t>
      </w:r>
    </w:p>
    <w:p>
      <w:pPr>
        <w:pStyle w:val="Normal"/>
        <w:spacing w:lineRule="auto" w:line="240" w:before="0" w:after="0"/>
        <w:jc w:val="both"/>
        <w:rPr/>
      </w:pPr>
      <w:r>
        <w:rPr/>
      </w:r>
    </w:p>
    <w:p>
      <w:pPr>
        <w:pStyle w:val="Normal"/>
        <w:spacing w:lineRule="auto" w:line="240" w:before="0" w:after="0"/>
        <w:jc w:val="both"/>
        <w:rPr/>
      </w:pPr>
      <w:r>
        <w:rPr/>
        <w:t>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showcases the nuanced performance of these algorithms in the realm of wind turbine fault detection and segmentation.</w:t>
      </w:r>
    </w:p>
    <w:p>
      <w:pPr>
        <w:pStyle w:val="Normal"/>
        <w:spacing w:lineRule="auto" w:line="240" w:before="0" w:after="0"/>
        <w:jc w:val="both"/>
        <w:rPr>
          <w:b/>
          <w:b/>
          <w:bCs/>
        </w:rPr>
      </w:pPr>
      <w:r>
        <w:rPr>
          <w:b/>
          <w:bCs/>
        </w:rPr>
      </w:r>
    </w:p>
    <w:p>
      <w:pPr>
        <w:pStyle w:val="Normal"/>
        <w:spacing w:lineRule="auto" w:line="240" w:before="0" w:after="0"/>
        <w:jc w:val="both"/>
        <w:rPr/>
      </w:pPr>
      <w:r>
        <w:rPr>
          <w:b/>
          <w:bCs/>
        </w:rPr>
        <w:t>Sample Image outputs:</w:t>
      </w:r>
    </w:p>
    <w:p>
      <w:pPr>
        <w:pStyle w:val="Normal"/>
        <w:spacing w:lineRule="auto" w:line="240" w:before="0" w:after="0"/>
        <w:jc w:val="both"/>
        <w:rPr>
          <w:b/>
          <w:b/>
          <w:bCs/>
        </w:rPr>
      </w:pPr>
      <w:r>
        <w:rPr>
          <w:b/>
          <w:bCs/>
        </w:rPr>
      </w:r>
    </w:p>
    <w:p>
      <w:pPr>
        <w:pStyle w:val="Normal"/>
        <w:spacing w:lineRule="auto" w:line="240" w:before="0" w:after="0"/>
        <w:jc w:val="both"/>
        <w:rPr/>
      </w:pPr>
      <w:r>
        <w:rPr/>
        <w:drawing>
          <wp:inline distT="0" distB="0" distL="0" distR="0">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7"/>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8"/>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9"/>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0"/>
                    <a:stretch>
                      <a:fillRect/>
                    </a:stretch>
                  </pic:blipFill>
                  <pic:spPr bwMode="auto">
                    <a:xfrm>
                      <a:off x="0" y="0"/>
                      <a:ext cx="1289050" cy="1289050"/>
                    </a:xfrm>
                    <a:prstGeom prst="rect">
                      <a:avLst/>
                    </a:prstGeom>
                  </pic:spPr>
                </pic:pic>
              </a:graphicData>
            </a:graphic>
          </wp:inline>
        </w:drawing>
      </w:r>
    </w:p>
    <w:p>
      <w:pPr>
        <w:pStyle w:val="Normal"/>
        <w:spacing w:lineRule="auto" w:line="240" w:before="0" w:after="0"/>
        <w:jc w:val="both"/>
        <w:rPr/>
      </w:pPr>
      <w:r>
        <w:rPr/>
        <w:t xml:space="preserve">                </w:t>
      </w:r>
    </w:p>
    <w:p>
      <w:pPr>
        <w:pStyle w:val="Normal"/>
        <w:spacing w:lineRule="auto" w:line="240" w:before="0" w:after="0"/>
        <w:jc w:val="both"/>
        <w:rPr/>
      </w:pPr>
      <w:r>
        <w:rPr/>
      </w:r>
    </w:p>
    <w:p>
      <w:pPr>
        <w:pStyle w:val="Normal"/>
        <w:spacing w:lineRule="auto" w:line="240" w:before="0" w:after="0"/>
        <w:jc w:val="both"/>
        <w:rPr/>
      </w:pPr>
      <w:bookmarkStart w:id="5" w:name="_Toc119503994"/>
      <w:r>
        <w:rPr>
          <w:b/>
          <w:bCs/>
        </w:rPr>
        <w:t>Table:1</w:t>
      </w:r>
      <w:r>
        <w:rPr/>
        <w:t xml:space="preserve"> Performance comparison between Mask R-CNN, YOLOv7</w:t>
      </w:r>
      <w:bookmarkEnd w:id="5"/>
      <w:r>
        <w:rPr/>
        <w:t>, and YOLOV8</w:t>
      </w:r>
    </w:p>
    <w:p>
      <w:pPr>
        <w:pStyle w:val="Normal"/>
        <w:spacing w:lineRule="auto" w:line="240" w:before="0" w:after="0"/>
        <w:jc w:val="both"/>
        <w:rPr/>
      </w:pPr>
      <w:r>
        <w:rPr/>
      </w:r>
    </w:p>
    <w:tbl>
      <w:tblPr>
        <w:tblW w:w="9242"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047"/>
        <w:gridCol w:w="1777"/>
        <w:gridCol w:w="1784"/>
        <w:gridCol w:w="1792"/>
        <w:gridCol w:w="1842"/>
      </w:tblGrid>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Improvement</w:t>
            </w:r>
          </w:p>
        </w:tc>
      </w:tr>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mAP@det</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+1.50%</w:t>
            </w:r>
          </w:p>
        </w:tc>
      </w:tr>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mAP@mask</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+1.30%</w:t>
            </w:r>
            <w:bookmarkStart w:id="6" w:name="_Hlk142919216"/>
            <w:bookmarkStart w:id="7" w:name="_Hlk142918858"/>
            <w:bookmarkEnd w:id="6"/>
            <w:bookmarkEnd w:id="7"/>
          </w:p>
        </w:tc>
      </w:tr>
    </w:tbl>
    <w:p>
      <w:pPr>
        <w:pStyle w:val="Normal"/>
        <w:spacing w:lineRule="auto" w:line="240" w:before="0" w:after="0"/>
        <w:jc w:val="both"/>
        <w:rPr>
          <w:b/>
          <w:b/>
          <w:bCs/>
        </w:rPr>
      </w:pPr>
      <w:r>
        <w:rPr>
          <w:b/>
          <w:bCs/>
        </w:rPr>
      </w:r>
    </w:p>
    <w:p>
      <w:pPr>
        <w:pStyle w:val="Normal"/>
        <w:spacing w:lineRule="auto" w:line="240" w:before="0" w:after="0"/>
        <w:jc w:val="both"/>
        <w:rPr/>
      </w:pPr>
      <w:r>
        <w:rPr>
          <w:b/>
          <w:bCs/>
        </w:rPr>
        <w:t>Table2:</w:t>
      </w:r>
      <w:r>
        <w:rPr/>
        <w:t xml:space="preserve"> Performance of YOLOv8 algorithm with different IoU’s </w:t>
      </w:r>
    </w:p>
    <w:p>
      <w:pPr>
        <w:pStyle w:val="Normal"/>
        <w:spacing w:lineRule="auto" w:line="240" w:before="0" w:after="0"/>
        <w:jc w:val="both"/>
        <w:rPr/>
      </w:pPr>
      <w:r>
        <w:rPr/>
      </w:r>
    </w:p>
    <w:tbl>
      <w:tblPr>
        <w:tblW w:w="5612"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39"/>
        <w:gridCol w:w="1450"/>
        <w:gridCol w:w="1823"/>
      </w:tblGrid>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Segmentation</w:t>
            </w:r>
          </w:p>
        </w:tc>
      </w:tr>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both"/>
              <w:rPr>
                <w:rFonts w:eastAsia="Times New Roman"/>
                <w:kern w:val="0"/>
                <w:lang w:bidi="ar-SA"/>
              </w:rPr>
            </w:pPr>
            <w:r>
              <w:rPr>
                <w:rFonts w:eastAsia="Times New Roman"/>
                <w:kern w:val="0"/>
                <w:lang w:bidi="ar-SA"/>
              </w:rPr>
              <w:t>96.5 % /97.2 %</w:t>
            </w:r>
          </w:p>
          <w:p>
            <w:pPr>
              <w:pStyle w:val="Normal"/>
              <w:widowControl w:val="false"/>
              <w:spacing w:lineRule="auto" w:line="240" w:before="0" w:after="0"/>
              <w:jc w:val="both"/>
              <w:rPr/>
            </w:pPr>
            <w:r>
              <w:rPr/>
            </w:r>
          </w:p>
        </w:tc>
      </w:tr>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t>97.1%/ 96.9%</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kern w:val="0"/>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t>97.1%/ 96.9%</w:t>
            </w:r>
          </w:p>
        </w:tc>
        <w:tc>
          <w:tcPr>
            <w:tcW w:w="1823" w:type="dxa"/>
            <w:tcBorders>
              <w:top w:val="single" w:sz="4" w:space="0" w:color="000000"/>
              <w:left w:val="single" w:sz="4" w:space="0" w:color="000000"/>
              <w:bottom w:val="single" w:sz="4" w:space="0" w:color="000000"/>
              <w:right w:val="single" w:sz="4" w:space="0" w:color="000000"/>
            </w:tcBorders>
          </w:tcPr>
          <w:p>
            <w:pPr>
              <w:pStyle w:val="HTMLPreformatted"/>
              <w:widowControl w:val="false"/>
              <w:jc w:val="both"/>
              <w:rPr>
                <w:rFonts w:ascii="Arial" w:hAnsi="Arial" w:cs="Arial"/>
                <w:sz w:val="24"/>
                <w:szCs w:val="24"/>
              </w:rPr>
            </w:pPr>
            <w:r>
              <w:rPr>
                <w:rFonts w:cs="Arial" w:ascii="Arial" w:hAnsi="Arial"/>
                <w:sz w:val="24"/>
                <w:szCs w:val="24"/>
              </w:rPr>
              <w:t>97.6%/ 97.6 %</w:t>
            </w:r>
          </w:p>
          <w:p>
            <w:pPr>
              <w:pStyle w:val="Normal"/>
              <w:widowControl w:val="false"/>
              <w:spacing w:lineRule="auto" w:line="240" w:before="0" w:after="0"/>
              <w:jc w:val="both"/>
              <w:rPr/>
            </w:pPr>
            <w:r>
              <w:rPr/>
            </w:r>
          </w:p>
        </w:tc>
      </w:tr>
    </w:tbl>
    <w:p>
      <w:pPr>
        <w:pStyle w:val="Normal"/>
        <w:spacing w:lineRule="auto" w:line="240" w:before="0" w:after="0"/>
        <w:jc w:val="both"/>
        <w:rPr/>
      </w:pPr>
      <w:r>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 xml:space="preserve">Conclusion </w:t>
      </w:r>
    </w:p>
    <w:p>
      <w:pPr>
        <w:pStyle w:val="Normal"/>
        <w:spacing w:lineRule="auto" w:line="240" w:before="0" w:after="0"/>
        <w:jc w:val="both"/>
        <w:rPr/>
      </w:pPr>
      <w:r>
        <w:rPr/>
      </w:r>
    </w:p>
    <w:p>
      <w:pPr>
        <w:pStyle w:val="Normal"/>
        <w:spacing w:before="0" w:after="0"/>
        <w:jc w:val="both"/>
        <w:rPr/>
      </w:pPr>
      <w:r>
        <w:rPr/>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pPr>
        <w:pStyle w:val="Normal"/>
        <w:spacing w:lineRule="auto" w:line="240" w:before="0" w:after="0"/>
        <w:jc w:val="both"/>
        <w:rPr/>
      </w:pPr>
      <w:r>
        <w:rPr/>
      </w:r>
    </w:p>
    <w:p>
      <w:pPr>
        <w:pStyle w:val="Normal"/>
        <w:spacing w:lineRule="auto" w:line="240" w:before="0" w:after="0"/>
        <w:jc w:val="both"/>
        <w:rPr/>
      </w:pPr>
      <w:r>
        <w:rPr>
          <w:b/>
          <w:bCs/>
        </w:rPr>
        <w:t>References</w:t>
      </w:r>
    </w:p>
    <w:p>
      <w:pPr>
        <w:pStyle w:val="Normal"/>
        <w:spacing w:lineRule="auto" w:line="240" w:before="0" w:after="0"/>
        <w:jc w:val="both"/>
        <w:rPr/>
      </w:pPr>
      <w:r>
        <w:rPr/>
      </w:r>
    </w:p>
    <w:p>
      <w:pPr>
        <w:pStyle w:val="ListParagraph"/>
        <w:numPr>
          <w:ilvl w:val="0"/>
          <w:numId w:val="1"/>
        </w:numPr>
        <w:spacing w:lineRule="auto" w:line="240" w:before="0" w:after="0"/>
        <w:contextualSpacing/>
        <w:jc w:val="both"/>
        <w:rPr>
          <w:rFonts w:ascii="Arial" w:hAnsi="Arial" w:cs="Arial"/>
          <w:sz w:val="24"/>
          <w:szCs w:val="24"/>
        </w:rPr>
      </w:pPr>
      <w:bookmarkStart w:id="8" w:name="_Ref119095260"/>
      <w:r>
        <w:rPr>
          <w:rFonts w:cs="Arial" w:ascii="Arial" w:hAnsi="Arial"/>
          <w:sz w:val="24"/>
          <w:szCs w:val="24"/>
        </w:rPr>
        <w:t>Seo, S. N. (2017). Beyond the Paris Agreement: Climate change policy negotiations and future directions. Regional Science Policy &amp; Practice, 9(2), 121-140.</w:t>
      </w:r>
      <w:bookmarkEnd w:id="8"/>
      <w:r>
        <w:rPr>
          <w:rFonts w:cs="Arial" w:ascii="Arial" w:hAnsi="Arial"/>
          <w:sz w:val="24"/>
          <w:szCs w:val="24"/>
        </w:rPr>
        <w:t xml:space="preserve"> </w:t>
      </w:r>
    </w:p>
    <w:p>
      <w:pPr>
        <w:pStyle w:val="ListParagraph"/>
        <w:numPr>
          <w:ilvl w:val="0"/>
          <w:numId w:val="1"/>
        </w:numPr>
        <w:spacing w:lineRule="auto" w:line="240" w:before="0" w:after="0"/>
        <w:contextualSpacing/>
        <w:jc w:val="both"/>
        <w:rPr>
          <w:rFonts w:ascii="Arial" w:hAnsi="Arial" w:cs="Arial"/>
          <w:sz w:val="24"/>
          <w:szCs w:val="24"/>
        </w:rPr>
      </w:pPr>
      <w:bookmarkStart w:id="9" w:name="_Ref119095283"/>
      <w:bookmarkStart w:id="10" w:name="_Ref119022905"/>
      <w:r>
        <w:rPr>
          <w:rFonts w:cs="Arial" w:ascii="Arial" w:hAnsi="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9"/>
      <w:bookmarkEnd w:id="10"/>
    </w:p>
    <w:p>
      <w:pPr>
        <w:pStyle w:val="ListParagraph"/>
        <w:numPr>
          <w:ilvl w:val="0"/>
          <w:numId w:val="1"/>
        </w:numPr>
        <w:spacing w:lineRule="auto" w:line="240" w:before="0" w:after="0"/>
        <w:contextualSpacing/>
        <w:jc w:val="both"/>
        <w:rPr>
          <w:rFonts w:ascii="Arial" w:hAnsi="Arial" w:cs="Arial"/>
          <w:sz w:val="24"/>
          <w:szCs w:val="24"/>
        </w:rPr>
      </w:pPr>
      <w:bookmarkStart w:id="11" w:name="_Ref119095296"/>
      <w:bookmarkStart w:id="12" w:name="_Ref118450413"/>
      <w:bookmarkStart w:id="13" w:name="_Ref119022964"/>
      <w:bookmarkEnd w:id="12"/>
      <w:bookmarkEnd w:id="13"/>
      <w:r>
        <w:rPr>
          <w:rFonts w:cs="Arial" w:ascii="Arial" w:hAnsi="Arial"/>
          <w:sz w:val="24"/>
          <w:szCs w:val="24"/>
        </w:rPr>
        <w:t>Wiser, R., Bolinger, M., Hoen, B., Millstein, D., Rand, J., Barbose, G., and Paulos, B. (2022). Land-based wind market report: 2022 edition. Lawrence Berkeley National Lab. (LBNL), Berkeley, CA (United States).</w:t>
      </w:r>
      <w:bookmarkEnd w:id="11"/>
    </w:p>
    <w:p>
      <w:pPr>
        <w:pStyle w:val="ListParagraph"/>
        <w:numPr>
          <w:ilvl w:val="0"/>
          <w:numId w:val="1"/>
        </w:numPr>
        <w:spacing w:lineRule="auto" w:line="240" w:before="0" w:after="0"/>
        <w:contextualSpacing/>
        <w:jc w:val="both"/>
        <w:rPr>
          <w:rFonts w:ascii="Arial" w:hAnsi="Arial" w:cs="Arial"/>
          <w:sz w:val="24"/>
          <w:szCs w:val="24"/>
        </w:rPr>
      </w:pPr>
      <w:bookmarkStart w:id="14" w:name="_Ref118451442"/>
      <w:bookmarkStart w:id="15" w:name="_Ref1184504131"/>
      <w:bookmarkStart w:id="16" w:name="_Ref1190229641"/>
      <w:bookmarkEnd w:id="15"/>
      <w:bookmarkEnd w:id="16"/>
      <w:r>
        <w:rPr>
          <w:rFonts w:cs="Arial" w:ascii="Arial" w:hAnsi="Arial"/>
          <w:sz w:val="24"/>
          <w:szCs w:val="24"/>
        </w:rPr>
        <w:t>Stetco, A., Dinmohammadi, F., Zhao, X., Robu, V., Flynn, D., Barnes, M., and  Nenadic, G. (2019). Machine learning methods for wind turbine condition monitoring: A review. Renewable Energy, 133, 620-635.</w:t>
      </w:r>
      <w:bookmarkStart w:id="17" w:name="_Ref119095497"/>
      <w:bookmarkEnd w:id="14"/>
    </w:p>
    <w:p>
      <w:pPr>
        <w:pStyle w:val="ListParagraph"/>
        <w:numPr>
          <w:ilvl w:val="0"/>
          <w:numId w:val="1"/>
        </w:numPr>
        <w:spacing w:lineRule="auto" w:line="240" w:before="0" w:after="0"/>
        <w:contextualSpacing/>
        <w:jc w:val="both"/>
        <w:rPr>
          <w:rFonts w:ascii="Arial" w:hAnsi="Arial" w:cs="Arial"/>
          <w:sz w:val="24"/>
          <w:szCs w:val="24"/>
        </w:rPr>
      </w:pPr>
      <w:bookmarkStart w:id="18" w:name="_Ref118451460"/>
      <w:bookmarkEnd w:id="17"/>
      <w:r>
        <w:rPr>
          <w:rFonts w:cs="Arial" w:ascii="Arial" w:hAnsi="Arial"/>
          <w:sz w:val="24"/>
          <w:szCs w:val="24"/>
        </w:rPr>
        <w:t>Kusiak, A., and Li, W. (2011). The prediction and diagnosis of wind turbine faults. Renewable Energy, 36(1), 16-23.</w:t>
      </w:r>
      <w:bookmarkStart w:id="19" w:name="_Ref119095507"/>
      <w:bookmarkEnd w:id="18"/>
    </w:p>
    <w:p>
      <w:pPr>
        <w:pStyle w:val="ListParagraph"/>
        <w:numPr>
          <w:ilvl w:val="0"/>
          <w:numId w:val="1"/>
        </w:numPr>
        <w:spacing w:lineRule="auto" w:line="240" w:before="0" w:after="0"/>
        <w:contextualSpacing/>
        <w:jc w:val="both"/>
        <w:rPr>
          <w:rFonts w:ascii="Arial" w:hAnsi="Arial" w:cs="Arial"/>
          <w:sz w:val="24"/>
          <w:szCs w:val="24"/>
        </w:rPr>
      </w:pPr>
      <w:bookmarkStart w:id="20" w:name="_Ref119095522"/>
      <w:bookmarkStart w:id="21" w:name="_Ref118451804"/>
      <w:bookmarkEnd w:id="19"/>
      <w:bookmarkEnd w:id="21"/>
      <w:r>
        <w:rPr>
          <w:rFonts w:cs="Arial" w:ascii="Arial" w:hAnsi="Arial"/>
          <w:sz w:val="24"/>
          <w:szCs w:val="24"/>
        </w:rPr>
        <w:t xml:space="preserve"> </w:t>
      </w:r>
      <w:r>
        <w:rPr>
          <w:rFonts w:cs="Arial" w:ascii="Arial" w:hAnsi="Arial"/>
          <w:sz w:val="24"/>
          <w:szCs w:val="24"/>
        </w:rPr>
        <w:t>Nielsen, J. J., and Sørensen, J. D. (2011). On risk-based operation and maintenance of offshore wind turbine components. Reliability Engineering &amp; System Safety, 96(1), 218-229.</w:t>
      </w:r>
      <w:bookmarkEnd w:id="20"/>
    </w:p>
    <w:p>
      <w:pPr>
        <w:pStyle w:val="ListParagraph"/>
        <w:numPr>
          <w:ilvl w:val="0"/>
          <w:numId w:val="1"/>
        </w:numPr>
        <w:spacing w:lineRule="auto" w:line="240" w:before="0" w:after="0"/>
        <w:contextualSpacing/>
        <w:jc w:val="both"/>
        <w:rPr>
          <w:rFonts w:ascii="Arial" w:hAnsi="Arial" w:cs="Arial"/>
          <w:sz w:val="24"/>
          <w:szCs w:val="24"/>
        </w:rPr>
      </w:pPr>
      <w:bookmarkStart w:id="22" w:name="_Ref119096281"/>
      <w:bookmarkStart w:id="23" w:name="_Ref118452439"/>
      <w:bookmarkStart w:id="24" w:name="_Ref1184518041"/>
      <w:bookmarkEnd w:id="23"/>
      <w:bookmarkEnd w:id="24"/>
      <w:r>
        <w:rPr>
          <w:rFonts w:cs="Arial" w:ascii="Arial" w:hAnsi="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2"/>
    </w:p>
    <w:p>
      <w:pPr>
        <w:pStyle w:val="ListParagraph"/>
        <w:numPr>
          <w:ilvl w:val="0"/>
          <w:numId w:val="1"/>
        </w:numPr>
        <w:spacing w:lineRule="auto" w:line="240" w:before="0" w:after="0"/>
        <w:contextualSpacing/>
        <w:jc w:val="both"/>
        <w:rPr>
          <w:rFonts w:ascii="Arial" w:hAnsi="Arial" w:cs="Arial"/>
          <w:sz w:val="24"/>
          <w:szCs w:val="24"/>
        </w:rPr>
      </w:pPr>
      <w:bookmarkStart w:id="25" w:name="_Ref119096725"/>
      <w:r>
        <w:rPr>
          <w:rFonts w:cs="Arial" w:ascii="Arial" w:hAnsi="Arial"/>
          <w:sz w:val="24"/>
          <w:szCs w:val="24"/>
        </w:rPr>
        <w:t xml:space="preserve"> </w:t>
      </w:r>
      <w:r>
        <w:rPr>
          <w:rFonts w:cs="Arial" w:ascii="Arial" w:hAnsi="Arial"/>
          <w:sz w:val="24"/>
          <w:szCs w:val="24"/>
        </w:rPr>
        <w:t>Lin, T. Y., Maire, M., Belongie, S., Hays, J., Perona, P., and Ramanan, D., and Zitnick, CL (2014, September). Microsoft COCO: Common objects in context. In European Conference on Computer Vision (pp. 740-755).</w:t>
      </w:r>
      <w:bookmarkEnd w:id="25"/>
    </w:p>
    <w:p>
      <w:pPr>
        <w:pStyle w:val="ListParagraph"/>
        <w:numPr>
          <w:ilvl w:val="0"/>
          <w:numId w:val="1"/>
        </w:numPr>
        <w:spacing w:lineRule="auto" w:line="240" w:before="0" w:after="0"/>
        <w:contextualSpacing/>
        <w:jc w:val="both"/>
        <w:rPr>
          <w:rFonts w:ascii="Arial" w:hAnsi="Arial" w:cs="Arial"/>
          <w:sz w:val="24"/>
          <w:szCs w:val="24"/>
        </w:rPr>
      </w:pPr>
      <w:bookmarkStart w:id="26" w:name="_Ref119096777"/>
      <w:r>
        <w:rPr>
          <w:rFonts w:cs="Arial" w:ascii="Arial" w:hAnsi="Arial"/>
          <w:sz w:val="24"/>
          <w:szCs w:val="24"/>
        </w:rPr>
        <w:t xml:space="preserve">Roboflow Annotator. Roboflow. </w:t>
      </w:r>
      <w:hyperlink r:id="rId11">
        <w:bookmarkStart w:id="27" w:name="_Ref118818252"/>
        <w:r>
          <w:rPr>
            <w:rStyle w:val="InternetLink"/>
            <w:rFonts w:cs="Arial" w:ascii="Arial" w:hAnsi="Arial"/>
            <w:sz w:val="24"/>
            <w:szCs w:val="24"/>
          </w:rPr>
          <w:t>https://roboflow.com</w:t>
        </w:r>
      </w:hyperlink>
      <w:hyperlink r:id="rId12">
        <w:bookmarkEnd w:id="27"/>
        <w:r>
          <w:rPr>
            <w:rStyle w:val="InternetLink"/>
            <w:rFonts w:cs="Arial" w:ascii="Arial" w:hAnsi="Arial"/>
            <w:sz w:val="24"/>
            <w:szCs w:val="24"/>
          </w:rPr>
          <w:t>/</w:t>
        </w:r>
      </w:hyperlink>
      <w:bookmarkEnd w:id="26"/>
      <w:r>
        <w:rPr>
          <w:rFonts w:cs="Arial" w:ascii="Arial" w:hAnsi="Arial"/>
          <w:sz w:val="24"/>
          <w:szCs w:val="24"/>
        </w:rPr>
        <w:t xml:space="preserve">. </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Kaiming He Georgia Gkioxari Piotr Dollar Ross Girshick Facebook AI Research (FAIR) Mask R-CNN</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YOLOv7: Trainable bag-of-freebies sets new state-of-the-art for real-time object detectors Chien-Yao Wang1, Alexey Bochkovskiy, and Hong-Yuan Mark Liao1 1 Institute of Information Science, Academia Sinica, Taiwan</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Real-Time Flying Object Detection with YOLOv8 Dillon Reis*, Jordan Kupec, Jacqueline Hong, Ahmad Daoudi Georgia Institute of Technology</w:t>
      </w:r>
    </w:p>
    <w:p>
      <w:pPr>
        <w:pStyle w:val="ListParagraph"/>
        <w:widowControl w:val="false"/>
        <w:numPr>
          <w:ilvl w:val="0"/>
          <w:numId w:val="1"/>
        </w:numPr>
        <w:tabs>
          <w:tab w:val="clear" w:pos="720"/>
          <w:tab w:val="left" w:pos="911" w:leader="none"/>
        </w:tabs>
        <w:spacing w:lineRule="auto" w:line="240" w:before="0" w:after="0"/>
        <w:contextualSpacing/>
        <w:jc w:val="both"/>
        <w:rPr>
          <w:rFonts w:ascii="Arial" w:hAnsi="Arial" w:cs="Arial"/>
          <w:sz w:val="24"/>
          <w:szCs w:val="24"/>
        </w:rPr>
      </w:pPr>
      <w:bookmarkStart w:id="28" w:name="_Ref118454264"/>
      <w:r>
        <w:rPr>
          <w:rFonts w:cs="Arial" w:ascii="Arial" w:hAnsi="Arial"/>
          <w:color w:val="222222"/>
          <w:sz w:val="24"/>
          <w:szCs w:val="24"/>
          <w:highlight w:val="white"/>
        </w:rPr>
        <w:t>Fu, Y., Wu, J., Hu, Y., Xing, M., and Xie, L. (2021, January). Desnet: A multi-channel network for simultaneous speech dereverberation, enhancement and separation. In </w:t>
      </w:r>
      <w:r>
        <w:rPr>
          <w:rFonts w:cs="Arial" w:ascii="Arial" w:hAnsi="Arial"/>
          <w:i/>
          <w:iCs/>
          <w:color w:val="222222"/>
          <w:sz w:val="24"/>
          <w:szCs w:val="24"/>
          <w:highlight w:val="white"/>
        </w:rPr>
        <w:t>2021 IEEE Spoken Language Technology Workshop (SLT)</w:t>
      </w:r>
      <w:r>
        <w:rPr>
          <w:rFonts w:cs="Arial" w:ascii="Arial" w:hAnsi="Arial"/>
          <w:color w:val="222222"/>
          <w:sz w:val="24"/>
          <w:szCs w:val="24"/>
          <w:highlight w:val="white"/>
        </w:rPr>
        <w:t> (pp. 857-864). IEEE.</w:t>
      </w:r>
      <w:bookmarkStart w:id="29" w:name="_Ref119096663"/>
      <w:bookmarkEnd w:id="28"/>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bookmarkStart w:id="30" w:name="_Ref118454281"/>
      <w:bookmarkEnd w:id="29"/>
      <w:r>
        <w:rPr>
          <w:rFonts w:cs="Arial" w:ascii="Arial" w:hAnsi="Arial"/>
          <w:color w:val="222222"/>
          <w:sz w:val="24"/>
          <w:szCs w:val="24"/>
          <w:highlight w:val="white"/>
        </w:rPr>
        <w:t>Soudy, M., Afify, Y., and Badr, N. (2022). RepConv: A novel architecture for image scene classification on Intel scenes dataset. </w:t>
      </w:r>
      <w:r>
        <w:rPr>
          <w:rFonts w:cs="Arial" w:ascii="Arial" w:hAnsi="Arial"/>
          <w:i/>
          <w:iCs/>
          <w:color w:val="222222"/>
          <w:sz w:val="24"/>
          <w:szCs w:val="24"/>
          <w:highlight w:val="white"/>
        </w:rPr>
        <w:t>International Journal of Intelligent Computing and Information Sciences</w:t>
      </w:r>
      <w:r>
        <w:rPr>
          <w:rFonts w:cs="Arial" w:ascii="Arial" w:hAnsi="Arial"/>
          <w:color w:val="222222"/>
          <w:sz w:val="24"/>
          <w:szCs w:val="24"/>
          <w:highlight w:val="white"/>
        </w:rPr>
        <w:t>, </w:t>
      </w:r>
      <w:r>
        <w:rPr>
          <w:rFonts w:cs="Arial" w:ascii="Arial" w:hAnsi="Arial"/>
          <w:i/>
          <w:iCs/>
          <w:color w:val="222222"/>
          <w:sz w:val="24"/>
          <w:szCs w:val="24"/>
          <w:highlight w:val="white"/>
        </w:rPr>
        <w:t>22</w:t>
      </w:r>
      <w:r>
        <w:rPr>
          <w:rFonts w:cs="Arial" w:ascii="Arial" w:hAnsi="Arial"/>
          <w:color w:val="222222"/>
          <w:sz w:val="24"/>
          <w:szCs w:val="24"/>
          <w:highlight w:val="white"/>
        </w:rPr>
        <w:t>(2), 63-73.</w:t>
      </w:r>
      <w:bookmarkStart w:id="31" w:name="_Ref119096676"/>
      <w:bookmarkEnd w:id="30"/>
    </w:p>
    <w:p>
      <w:pPr>
        <w:pStyle w:val="ListParagraph"/>
        <w:widowControl w:val="false"/>
        <w:numPr>
          <w:ilvl w:val="0"/>
          <w:numId w:val="1"/>
        </w:numPr>
        <w:tabs>
          <w:tab w:val="clear" w:pos="720"/>
          <w:tab w:val="left" w:pos="943" w:leader="none"/>
        </w:tabs>
        <w:spacing w:lineRule="auto" w:line="240" w:before="0" w:after="0"/>
        <w:contextualSpacing/>
        <w:jc w:val="both"/>
        <w:rPr>
          <w:rFonts w:ascii="Arial" w:hAnsi="Arial" w:cs="Arial"/>
          <w:sz w:val="24"/>
          <w:szCs w:val="24"/>
        </w:rPr>
      </w:pPr>
      <w:bookmarkStart w:id="32" w:name="_Ref118454296"/>
      <w:r>
        <w:rPr>
          <w:rFonts w:cs="Arial" w:ascii="Arial" w:hAnsi="Arial"/>
          <w:color w:val="222222"/>
          <w:sz w:val="24"/>
          <w:szCs w:val="24"/>
          <w:highlight w:val="white"/>
        </w:rPr>
        <w:t>Bolya, D., Zhou, C., Xiao, F., and Lee, Y. J. (2019). Yolact: Real-time instance segmentation. In </w:t>
      </w:r>
      <w:r>
        <w:rPr>
          <w:rFonts w:cs="Arial" w:ascii="Arial" w:hAnsi="Arial"/>
          <w:i/>
          <w:iCs/>
          <w:color w:val="222222"/>
          <w:sz w:val="24"/>
          <w:szCs w:val="24"/>
          <w:highlight w:val="white"/>
        </w:rPr>
        <w:t>Proceedings of the IEEE/CVF International Conference on Computer Vision</w:t>
      </w:r>
      <w:r>
        <w:rPr>
          <w:rFonts w:cs="Arial" w:ascii="Arial" w:hAnsi="Arial"/>
          <w:color w:val="222222"/>
          <w:sz w:val="24"/>
          <w:szCs w:val="24"/>
          <w:highlight w:val="white"/>
        </w:rPr>
        <w:t> (pp. 9157-9166).</w:t>
      </w:r>
      <w:bookmarkStart w:id="33" w:name="_Ref119096695"/>
      <w:bookmarkEnd w:id="32"/>
      <w:bookmarkEnd w:id="33"/>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Jacob Solawetz and Francesco. What is yolov8? the ultimate guide., 2023. 04-30-2023. 1, 5, 8</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DC-YOLOv8: Small size Object detection algorithm based on camera sensor Haitong Lou1, Xuehu Duan1, Junmei Guo1, Haiying Liu1 *, Jason Gu2, Lingyun Bi1, Haonan Chen 1 7 April 2023 doi:10.20944/preprints202304. 0124.v1</w:t>
      </w:r>
      <w:bookmarkEnd w:id="31"/>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DCF-Yolov8: An Improved Algorithm for Aggregating Low-Level Features to Detect Agricultural Pests and Diseases by Lijuan Zhang 1,2, Gongcheng Ding 1,2, Chaoran Li 3 and Dongming Li 1,*ORCIDAgronomy 2023, 13(8), 2012; https://doi.org/10.3390/agronomy13082012.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Feature Pyramid Networks for Object Detection Tsung-Yi Lin, Piotr Dollar , Ross Girshick , Kaiming He, Bharath Hariharan, and Serge Belongie</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Path Aggregation Network for Instance Segmentation Shu Liu† Lu Qi† Haifang Qin§ Jianping Shi‡ Jiaya Jia†,[ †The Chinese University of Hong Kong §Peking University ‡SenseTime Research [YouTu Lab, Tencent arXiv:1803.01534v4</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Baruah P. Types of tea, value addition and product diversification of Indian tea. 2015.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Chen J, Chen Y, Jin X, et al. Research on a parallel robot for green tea flushes plucking/Proceedings of the 5th International Conference on Education, Management, Information and Medicine. 2015: 22–26.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Hu G, Wu H, Zhang Y, Wan M. A low shot learning method for tea leaf’s disease identification. Comput Electron Agric</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Channel Pruning-Based YOLOv7 Deep Learning Algorithm for Identifying Trolley Codes by Jun Zhang, Rongxi Zhang *, Xinming Shu, Lulu Yu and  Xuanning Xu Appl. Sci. 2023, 13(18), 10202</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Generalized Focal Loss: Learning Qualified and Distributed Bounding Boxes for Dense Object Detection Xiang Li1,2, Wenhai Wang3,2, Lijun Wu4, Shuo Chen1, Xiaolin Hu5, Jun Li1, Jinhui Tang1, and Jian Yang1</w:t>
      </w:r>
      <w:r>
        <w:rPr>
          <w:rFonts w:cs="Cambria Math" w:ascii="Cambria Math" w:hAnsi="Cambria Math"/>
          <w:sz w:val="24"/>
          <w:szCs w:val="24"/>
        </w:rPr>
        <w:t>∗</w:t>
      </w:r>
      <w:r>
        <w:rPr>
          <w:rFonts w:cs="Arial" w:ascii="Arial" w:hAnsi="Arial"/>
          <w:sz w:val="24"/>
          <w:szCs w:val="24"/>
        </w:rPr>
        <w:t xml:space="preserve"> arXiv:2006.04388v1 [cs.CV] 8 Jun 2020</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Xu, B., Li, W., Yang, M., &amp; Liu, Y. (2023). Fast detection of wind turbine blade damage using Cascade Mask R-DSCNN-aided drone inspection analysis. Signal, Image and Video Processing, 17(10), 2333-2341</w:t>
      </w:r>
    </w:p>
    <w:p>
      <w:pPr>
        <w:pStyle w:val="Normal"/>
        <w:widowControl w:val="false"/>
        <w:tabs>
          <w:tab w:val="clear" w:pos="720"/>
          <w:tab w:val="left" w:pos="919" w:leader="none"/>
        </w:tabs>
        <w:spacing w:lineRule="auto" w:line="240" w:before="0" w:after="0"/>
        <w:jc w:val="both"/>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Light">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rPr/>
    </w:lvl>
    <w:lvl w:ilvl="2">
      <w:start w:val="1"/>
      <w:numFmt w:val="lowerRoman"/>
      <w:lvlText w:val="%2.%3"/>
      <w:lvlJc w:val="right"/>
      <w:pPr>
        <w:tabs>
          <w:tab w:val="num" w:pos="0"/>
        </w:tabs>
        <w:ind w:left="2160" w:hanging="180"/>
      </w:pPr>
      <w:rPr/>
    </w:lvl>
    <w:lvl w:ilvl="3">
      <w:start w:val="1"/>
      <w:numFmt w:val="decimal"/>
      <w:lvlText w:val="%3.%4"/>
      <w:lvlJc w:val="left"/>
      <w:pPr>
        <w:tabs>
          <w:tab w:val="num" w:pos="0"/>
        </w:tabs>
        <w:ind w:left="2880" w:hanging="360"/>
      </w:pPr>
      <w:rPr/>
    </w:lvl>
    <w:lvl w:ilvl="4">
      <w:start w:val="1"/>
      <w:numFmt w:val="lowerLetter"/>
      <w:lvlText w:val="%4.%5"/>
      <w:lvlJc w:val="left"/>
      <w:pPr>
        <w:tabs>
          <w:tab w:val="num" w:pos="0"/>
        </w:tabs>
        <w:ind w:left="3600" w:hanging="360"/>
      </w:pPr>
      <w:rPr/>
    </w:lvl>
    <w:lvl w:ilvl="5">
      <w:start w:val="1"/>
      <w:numFmt w:val="lowerRoman"/>
      <w:lvlText w:val="%5.%6"/>
      <w:lvlJc w:val="right"/>
      <w:pPr>
        <w:tabs>
          <w:tab w:val="num" w:pos="0"/>
        </w:tabs>
        <w:ind w:left="4320" w:hanging="180"/>
      </w:pPr>
      <w:rPr/>
    </w:lvl>
    <w:lvl w:ilvl="6">
      <w:start w:val="1"/>
      <w:numFmt w:val="decimal"/>
      <w:lvlText w:val="%6.%7"/>
      <w:lvlJc w:val="left"/>
      <w:pPr>
        <w:tabs>
          <w:tab w:val="num" w:pos="0"/>
        </w:tabs>
        <w:ind w:left="5040" w:hanging="360"/>
      </w:pPr>
      <w:rPr/>
    </w:lvl>
    <w:lvl w:ilvl="7">
      <w:start w:val="1"/>
      <w:numFmt w:val="lowerLetter"/>
      <w:lvlText w:val="%7.%8"/>
      <w:lvlJc w:val="left"/>
      <w:pPr>
        <w:tabs>
          <w:tab w:val="num" w:pos="0"/>
        </w:tabs>
        <w:ind w:left="5760" w:hanging="360"/>
      </w:pPr>
      <w:rPr/>
    </w:lvl>
    <w:lvl w:ilvl="8">
      <w:start w:val="1"/>
      <w:numFmt w:val="lowerRoman"/>
      <w:lvlText w:val="%8.%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kern w:val="2"/>
        <w:szCs w:val="24"/>
        <w:lang w:val="en-US" w:eastAsia="en-US" w:bidi="te-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rial" w:hAnsi="Arial" w:eastAsia="Calibri" w:cs="Arial"/>
      <w:color w:val="auto"/>
      <w:kern w:val="2"/>
      <w:sz w:val="24"/>
      <w:szCs w:val="24"/>
      <w:lang w:val="en-US" w:eastAsia="en-US" w:bidi="te-IN"/>
    </w:rPr>
  </w:style>
  <w:style w:type="paragraph" w:styleId="Heading1">
    <w:name w:val="Heading 1"/>
    <w:basedOn w:val="Normal"/>
    <w:next w:val="Normal"/>
    <w:uiPriority w:val="9"/>
    <w:qFormat/>
    <w:pPr>
      <w:keepNext w:val="true"/>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val="true"/>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val="true"/>
      <w:keepLines/>
      <w:spacing w:lineRule="auto" w:line="252" w:before="40" w:after="0"/>
      <w:outlineLvl w:val="2"/>
    </w:pPr>
    <w:rPr>
      <w:rFonts w:ascii="Calibri Light" w:hAnsi="Calibri Light" w:cs="Gautami"/>
      <w:color w:val="1F3763"/>
      <w:kern w:val="0"/>
      <w:lang w:bidi="ar-SA"/>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qFormat/>
    <w:rPr>
      <w:rFonts w:ascii="Calibri Light" w:hAnsi="Calibri Light" w:eastAsia="Calibri" w:cs="Gautami"/>
      <w:color w:val="1F3763"/>
      <w:kern w:val="0"/>
      <w:lang w:bidi="ar-SA"/>
    </w:rPr>
  </w:style>
  <w:style w:type="character" w:styleId="Heading2Char" w:customStyle="1">
    <w:name w:val="Heading 2 Char"/>
    <w:basedOn w:val="DefaultParagraphFont"/>
    <w:qFormat/>
    <w:rPr>
      <w:rFonts w:ascii="Calibri Light" w:hAnsi="Calibri Light" w:eastAsia="Calibri" w:cs="Gautami"/>
      <w:color w:val="2F5496"/>
      <w:sz w:val="26"/>
      <w:szCs w:val="26"/>
    </w:rPr>
  </w:style>
  <w:style w:type="character" w:styleId="Heading1Char" w:customStyle="1">
    <w:name w:val="Heading 1 Char"/>
    <w:basedOn w:val="DefaultParagraphFont"/>
    <w:qFormat/>
    <w:rPr>
      <w:rFonts w:ascii="Calibri Light" w:hAnsi="Calibri Light" w:eastAsia="Calibri" w:cs="Gautami"/>
      <w:color w:val="2F5496"/>
      <w:sz w:val="32"/>
      <w:szCs w:val="32"/>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qFormat/>
    <w:rPr>
      <w:b/>
      <w:bCs/>
    </w:rPr>
  </w:style>
  <w:style w:type="character" w:styleId="Inlineblock" w:customStyle="1">
    <w:name w:val="inlineblock"/>
    <w:basedOn w:val="DefaultParagraphFont"/>
    <w:qFormat/>
    <w:rPr/>
  </w:style>
  <w:style w:type="character" w:styleId="Sciprofileslinkname" w:customStyle="1">
    <w:name w:val="sciprofiles-link__name"/>
    <w:basedOn w:val="DefaultParagraphFont"/>
    <w:qFormat/>
    <w:rPr/>
  </w:style>
  <w:style w:type="character" w:styleId="Placeholder" w:customStyle="1">
    <w:name w:val="Placeholder"/>
    <w:qFormat/>
    <w:rPr>
      <w:smallCaps/>
      <w:color w:val="008080"/>
      <w:u w:val="dotted"/>
    </w:rPr>
  </w:style>
  <w:style w:type="character" w:styleId="SourceText" w:customStyle="1">
    <w:name w:val="Source Text"/>
    <w:qFormat/>
    <w:rPr>
      <w:rFonts w:ascii="Liberation Mono" w:hAnsi="Liberation Mono" w:eastAsia="Liberation Mono" w:cs="Liberation Mono"/>
    </w:rPr>
  </w:style>
  <w:style w:type="character" w:styleId="StrongEmphasis" w:customStyle="1">
    <w:name w:val="Strong Emphasis"/>
    <w:qFormat/>
    <w:rPr>
      <w:b/>
      <w:bCs/>
    </w:rPr>
  </w:style>
  <w:style w:type="character" w:styleId="HTMLPreformattedChar" w:customStyle="1">
    <w:name w:val="HTML Preformatted Char"/>
    <w:basedOn w:val="DefaultParagraphFont"/>
    <w:link w:val="HTMLPreformatted"/>
    <w:uiPriority w:val="99"/>
    <w:semiHidden/>
    <w:qFormat/>
    <w:rsid w:val="00a910ea"/>
    <w:rPr>
      <w:rFonts w:ascii="Courier New" w:hAnsi="Courier New" w:eastAsia="Times New Roman" w:cs="Courier New"/>
      <w:kern w:val="0"/>
      <w:szCs w:val="20"/>
      <w:lang w:bidi="ar-SA"/>
    </w:rPr>
  </w:style>
  <w:style w:type="character" w:styleId="Mi" w:customStyle="1">
    <w:name w:val="mi"/>
    <w:basedOn w:val="DefaultParagraphFont"/>
    <w:qFormat/>
    <w:rsid w:val="00b44d78"/>
    <w:rPr/>
  </w:style>
  <w:style w:type="character" w:styleId="Mo" w:customStyle="1">
    <w:name w:val="mo"/>
    <w:basedOn w:val="DefaultParagraphFont"/>
    <w:qFormat/>
    <w:rsid w:val="00b44d78"/>
    <w:rPr/>
  </w:style>
  <w:style w:type="character" w:styleId="Mn" w:customStyle="1">
    <w:name w:val="mn"/>
    <w:basedOn w:val="DefaultParagraphFont"/>
    <w:qFormat/>
    <w:rsid w:val="00de7d99"/>
    <w:rPr/>
  </w:style>
  <w:style w:type="character" w:styleId="Mjxassistivemathml" w:customStyle="1">
    <w:name w:val="mjx_assistive_mathml"/>
    <w:basedOn w:val="DefaultParagraphFont"/>
    <w:qFormat/>
    <w:rsid w:val="00de7d99"/>
    <w:rPr/>
  </w:style>
  <w:style w:type="character" w:styleId="PlaceholderText">
    <w:name w:val="Placeholder Text"/>
    <w:basedOn w:val="DefaultParagraphFont"/>
    <w:uiPriority w:val="99"/>
    <w:semiHidden/>
    <w:qFormat/>
    <w:rsid w:val="00956af2"/>
    <w:rPr>
      <w:color w:val="666666"/>
    </w:rPr>
  </w:style>
  <w:style w:type="character" w:styleId="Mord" w:customStyle="1">
    <w:name w:val="mord"/>
    <w:basedOn w:val="DefaultParagraphFont"/>
    <w:qFormat/>
    <w:rsid w:val="00956af2"/>
    <w:rPr/>
  </w:style>
  <w:style w:type="character" w:styleId="Mrel" w:customStyle="1">
    <w:name w:val="mrel"/>
    <w:basedOn w:val="DefaultParagraphFont"/>
    <w:qFormat/>
    <w:rsid w:val="00956af2"/>
    <w:rPr/>
  </w:style>
  <w:style w:type="character" w:styleId="Mop" w:customStyle="1">
    <w:name w:val="mop"/>
    <w:basedOn w:val="DefaultParagraphFont"/>
    <w:qFormat/>
    <w:rsid w:val="00956af2"/>
    <w:rPr/>
  </w:style>
  <w:style w:type="character" w:styleId="Vlists" w:customStyle="1">
    <w:name w:val="vlist-s"/>
    <w:basedOn w:val="DefaultParagraphFont"/>
    <w:qFormat/>
    <w:rsid w:val="00956af2"/>
    <w:rPr/>
  </w:style>
  <w:style w:type="character" w:styleId="Mopen" w:customStyle="1">
    <w:name w:val="mopen"/>
    <w:basedOn w:val="DefaultParagraphFont"/>
    <w:qFormat/>
    <w:rsid w:val="00956af2"/>
    <w:rPr/>
  </w:style>
  <w:style w:type="character" w:styleId="Mbin" w:customStyle="1">
    <w:name w:val="mbin"/>
    <w:basedOn w:val="DefaultParagraphFont"/>
    <w:qFormat/>
    <w:rsid w:val="00956af2"/>
    <w:rPr/>
  </w:style>
  <w:style w:type="character" w:styleId="Mclose" w:customStyle="1">
    <w:name w:val="mclose"/>
    <w:basedOn w:val="DefaultParagraphFont"/>
    <w:qFormat/>
    <w:rsid w:val="00956af2"/>
    <w:rPr/>
  </w:style>
  <w:style w:type="character" w:styleId="HeaderChar" w:customStyle="1">
    <w:name w:val="Header Char"/>
    <w:basedOn w:val="DefaultParagraphFont"/>
    <w:link w:val="Header"/>
    <w:uiPriority w:val="99"/>
    <w:qFormat/>
    <w:rsid w:val="00745790"/>
    <w:rPr>
      <w:sz w:val="24"/>
    </w:rPr>
  </w:style>
  <w:style w:type="character" w:styleId="FooterChar" w:customStyle="1">
    <w:name w:val="Footer Char"/>
    <w:basedOn w:val="DefaultParagraphFont"/>
    <w:link w:val="Footer"/>
    <w:uiPriority w:val="99"/>
    <w:qFormat/>
    <w:rsid w:val="00745790"/>
    <w:rPr>
      <w:sz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lineRule="auto" w:line="240" w:before="0" w:after="200"/>
    </w:pPr>
    <w:rPr>
      <w:rFonts w:ascii="Calibri" w:hAnsi="Calibri" w:cs="Gautami"/>
      <w:i/>
      <w:iCs/>
      <w:color w:val="44546A"/>
      <w:kern w:val="0"/>
      <w:sz w:val="18"/>
      <w:szCs w:val="18"/>
      <w:lang w:bidi="ar-SA"/>
    </w:rPr>
  </w:style>
  <w:style w:type="paragraph" w:styleId="ListParagraph">
    <w:name w:val="List Paragraph"/>
    <w:basedOn w:val="Normal"/>
    <w:qFormat/>
    <w:pPr>
      <w:spacing w:lineRule="auto" w:line="252" w:before="0" w:after="160"/>
      <w:ind w:left="720" w:hanging="0"/>
      <w:contextualSpacing/>
    </w:pPr>
    <w:rPr>
      <w:rFonts w:ascii="Calibri" w:hAnsi="Calibri" w:cs="Gautami"/>
      <w:kern w:val="0"/>
      <w:sz w:val="22"/>
      <w:szCs w:val="22"/>
      <w:lang w:bidi="ar-SA"/>
    </w:rPr>
  </w:style>
  <w:style w:type="paragraph" w:styleId="Default" w:customStyle="1">
    <w:name w:val="Default"/>
    <w:qFormat/>
    <w:pPr>
      <w:widowControl/>
      <w:suppressAutoHyphens w:val="true"/>
      <w:bidi w:val="0"/>
      <w:spacing w:before="0" w:after="0"/>
      <w:jc w:val="left"/>
    </w:pPr>
    <w:rPr>
      <w:rFonts w:ascii="Times New Roman" w:hAnsi="Times New Roman" w:cs="Times New Roman" w:eastAsia="Calibri"/>
      <w:color w:val="000000"/>
      <w:kern w:val="0"/>
      <w:sz w:val="24"/>
      <w:szCs w:val="24"/>
      <w:lang w:bidi="ar-SA" w:val="en-US" w:eastAsia="en-US"/>
    </w:rPr>
  </w:style>
  <w:style w:type="paragraph" w:styleId="NormalWeb">
    <w:name w:val="Normal (Web)"/>
    <w:basedOn w:val="Normal"/>
    <w:uiPriority w:val="99"/>
    <w:qFormat/>
    <w:pPr>
      <w:spacing w:lineRule="auto" w:line="240" w:before="280" w:after="280"/>
    </w:pPr>
    <w:rPr>
      <w:rFonts w:ascii="Times New Roman" w:hAnsi="Times New Roman" w:eastAsia="Times New Roman" w:cs="Times New Roman"/>
      <w:kern w:val="0"/>
      <w:lang w:bidi="ar-SA"/>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lang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74579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45790"/>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roboflow.com/" TargetMode="External"/><Relationship Id="rId12" Type="http://schemas.openxmlformats.org/officeDocument/2006/relationships/hyperlink" Target="https://roboflow.com/"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32540</TotalTime>
  <Application>LibreOffice/7.3.7.2$Linux_X86_64 LibreOffice_project/30$Build-2</Application>
  <AppVersion>15.0000</AppVersion>
  <DocSecurity>0</DocSecurity>
  <Pages>10</Pages>
  <Words>3358</Words>
  <Characters>20030</Characters>
  <CharactersWithSpaces>23506</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2023-07-01T16:27:00Z</dcterms:created>
  <dc:creator>Pavan Sai Prasanth S Sabnaveesu</dc:creator>
  <dc:description/>
  <dc:language>en-US</dc:language>
  <cp:lastModifiedBy/>
  <dcterms:modified xsi:type="dcterms:W3CDTF">2024-02-16T20:17:38Z</dcterms:modified>
  <cp:revision>574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