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rPr>
        <w:t>Detection and segmentation of wind turbine blade faults using Mask R-CNN, YOLOV7, And YOLOV8 with different Intersection of union</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b/>
          <w:bCs/>
        </w:rPr>
        <w:t>Pavan Sai Prasanth Sabnaveesu and Dr. Md Monirul Islam</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Keywords</w:t>
      </w:r>
      <w:r>
        <w:rPr>
          <w:rFonts w:ascii="Ubuntu" w:hAnsi="Ubuntu"/>
        </w:rPr>
        <w:t>: Object detection, semantic segmentation, wind turbine blade faults, Mask R-CNN, YOLOV7, And YOLOV8</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Abstract </w:t>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rPr>
      </w:pPr>
      <w:r>
        <w:rPr>
          <w:rFonts w:ascii="Ubuntu" w:hAnsi="Ubuntu"/>
        </w:rPr>
        <w:t xml:space="preserve">Wind turbines are at the heart of sustainable electricity generation from renewable sources. These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In light of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and they are IoU@0.6, IoU@0.7, and IoU@0.8.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Introduction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The primary driver of greenhouse gas emissions stems from fossil fuel-based energy sources. This research helps to minimize emissions and resolve environmental issues; it's essential to integrate renewable energy sources into our everyday routines. The Paris Agreement, signed by 165 nations in 2015, marked a significant milestone in fortifying the global commitment to curbing carbon dioxide emissions and bolstering investments in renewable energy solutions [1]. Following the agreement, there was a significant increase in expenditures for green energy infrastructure. Notably, solar and wind energy emerged as front-runners in the competition for renewable energy production. According to the United States Energy Information Administration, solar electricity accounts for 9% of the nation's energy supply, while wind generation contributes 24% [2]. Advancements in technology have revolutionized the design and production of wind turbines, resulting in a reduction in the cost of power generation compared to other renewable sources. The efficiency of a wind turbine is nearly double that of solar panels [3]. As of now, wind energy stands out as one of the most cost-effective renewable resources, with production costs averaging between </w:t>
      </w:r>
      <w:r>
        <w:rPr>
          <w:rFonts w:ascii="Ubuntu" w:hAnsi="Ubuntu"/>
        </w:rPr>
        <w:t xml:space="preserve">one </w:t>
      </w:r>
      <w:r>
        <w:rPr>
          <w:rFonts w:ascii="Ubuntu" w:hAnsi="Ubuntu"/>
          <w:sz w:val="24"/>
        </w:rPr>
        <w:t>and</w:t>
      </w:r>
      <w:r>
        <w:rPr>
          <w:rFonts w:ascii="Ubuntu" w:hAnsi="Ubuntu"/>
        </w:rPr>
        <w:t xml:space="preserve"> two</w:t>
      </w:r>
      <w:r>
        <w:rPr>
          <w:rFonts w:ascii="Ubuntu" w:hAnsi="Ubuntu"/>
        </w:rPr>
        <w:t xml:space="preserve"> cents per kilowatt-hour [4]. Moreover, it is worth noting that harnessing  </w:t>
      </w:r>
      <w:r>
        <w:rPr>
          <w:rFonts w:ascii="Ubuntu" w:hAnsi="Ubuntu"/>
        </w:rPr>
        <w:t>one</w:t>
      </w:r>
      <w:r>
        <w:rPr>
          <w:rFonts w:ascii="Ubuntu" w:hAnsi="Ubuntu"/>
        </w:rPr>
        <w:t xml:space="preserve"> megawatt of wind energy can potentially offset approximately 2600 tons of carbon dioxide emissions [5].No plagiarism found</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The wind turbines are built on land (onshore) or in large bodies of water like oceans and lakes (offshore). Irrespective of the categories, the wind turbine architecture consists of many mechanical and electrical components such as a rotor, blades, generator, controller, and gearbox. Notably, the turbine blades, typically measuring an impressive 100-140 meters in length, play a crucial role in electricity generation. Its efficiency in rotating determines the amount of electric power generated. These gigantic blades are subjected to aerodynamic and gravitational loads while operating under extreme climatic conditions, which causes vibration forces that result in structural damages such as cracks on the surface, erosion of the edge, pitch angle, and twisting blades[ 4][ 5].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These forces can induce vibrations that manifest as structural damages, such as surface cracks, edge erosion, and even issues with pitch angles or twisted blades. Traditional inspection of these blades relies on time-based maintenance techniques. This approach is not only inefficient but also fraught with challenges. For instance, rope-based inspections pose significant risks to personnel, and telephotography methods can overlook microscopic structural damages due to human limitations. Furthermore, faults in wind turbines don't just compromise efficiency; they also pose environmental hazards. The operation and maintenance (O&amp;M) can account for up to 30% of the costs of wind electricity generation, so an efficient and reliable inspection method becomes indispensable. This research addresses these challenges by proposing an autonomous detection system using Mask R CNN, YOLOv7, and YOLOv8 algorithms. The goal is to precisely identify faults, thereby reducing O&amp;M costs while elevating safety standards. Our approach leans on cutting-edge object detection algorithms, namely Mask R-CNN, YOLOV7, and YOLOV8, to navigate the challenges of manual inspections. We'll begin by discussing our data sources.</w:t>
      </w:r>
    </w:p>
    <w:p>
      <w:pPr>
        <w:pStyle w:val="Normal"/>
        <w:spacing w:before="0" w:after="0"/>
        <w:jc w:val="both"/>
        <w:rPr>
          <w:rFonts w:ascii="Ubuntu" w:hAnsi="Ubuntu"/>
        </w:rPr>
      </w:pPr>
      <w:r>
        <w:rPr>
          <w:rFonts w:ascii="Ubuntu" w:hAnsi="Ubuntu"/>
        </w:rPr>
      </w:r>
      <w:bookmarkStart w:id="0" w:name="_Toc118896164"/>
      <w:bookmarkStart w:id="1" w:name="_Toc118378463"/>
      <w:bookmarkStart w:id="2" w:name="_Toc121159009"/>
      <w:bookmarkStart w:id="3" w:name="_Toc118896164"/>
      <w:bookmarkStart w:id="4" w:name="_Toc118378463"/>
      <w:bookmarkStart w:id="5" w:name="_Toc121159009"/>
      <w:bookmarkEnd w:id="3"/>
      <w:bookmarkEnd w:id="4"/>
      <w:bookmarkEnd w:id="5"/>
    </w:p>
    <w:p>
      <w:pPr>
        <w:pStyle w:val="Normal"/>
        <w:spacing w:before="0" w:after="0"/>
        <w:jc w:val="both"/>
        <w:rPr/>
      </w:pPr>
      <w:r>
        <w:rPr>
          <w:rFonts w:ascii="Ubuntu" w:hAnsi="Ubuntu"/>
          <w:b/>
          <w:bCs/>
        </w:rPr>
        <w:t xml:space="preserve">Data Acquisition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
    </w:p>
    <w:p>
      <w:pPr>
        <w:pStyle w:val="Normal"/>
        <w:spacing w:before="0" w:after="0"/>
        <w:jc w:val="both"/>
        <w:rPr>
          <w:rFonts w:ascii="Ubuntu" w:hAnsi="Ubuntu"/>
        </w:rPr>
      </w:pPr>
      <w:r>
        <w:rPr>
          <w:rFonts w:ascii="Ubuntu" w:hAnsi="Ubuntu"/>
        </w:rPr>
        <w:t>In this research, we developed a dataset containing 2,127 augmented drone images. These images capture four distinct categories: edge erosion, surface damage, VG panel, and lighting receptor. These images encompass various backgrounds and fault variations. It's worth noting that while VG panels and lighting receptors aren't specific fault types, they are external components typically visible during wind turbine blade inspections [7]. We systematically divided the dataset into training, validation, and test subsets, consisting of 2,127, 181, and 41 images. Addressing concerns of underfitting and overfitting, we harnessed data augmentation strategies like flipping, rotating, shearing, blurring, and cropping. Each image underwent precise annotation, employing bounding boxes and labels to spotlight specific faults in wind turbine blades using the Roboflow Annotator tool, a publicly available resource. Though initially set to a pixel dimension of 856 x 856, images are resized to a 640 x 640 resolution for both the training and testing phases. Elevating the models' effectiveness, we incorporated transfer learning techniques, resulting in a notable enhancement in model performance.</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 </w:t>
      </w:r>
      <w:r>
        <w:rPr>
          <w:rFonts w:ascii="Ubuntu" w:hAnsi="Ubuntu"/>
          <w:b/>
          <w:bCs/>
        </w:rPr>
        <w:t xml:space="preserve">Transfer learning </w:t>
      </w:r>
    </w:p>
    <w:p>
      <w:pPr>
        <w:pStyle w:val="Normal"/>
        <w:spacing w:before="0" w:after="0"/>
        <w:jc w:val="both"/>
        <w:rPr/>
      </w:pPr>
      <w:r>
        <w:rPr>
          <w:rFonts w:ascii="Ubuntu" w:hAnsi="Ubuntu"/>
        </w:rPr>
        <w:t xml:space="preserve"> </w:t>
      </w:r>
    </w:p>
    <w:p>
      <w:pPr>
        <w:pStyle w:val="Normal"/>
        <w:spacing w:before="0" w:after="0"/>
        <w:jc w:val="both"/>
        <w:rPr/>
      </w:pPr>
      <w:r>
        <w:rPr>
          <w:rFonts w:ascii="Ubuntu" w:hAnsi="Ubuntu"/>
        </w:rPr>
        <w:t xml:space="preserve">Transfer learning is used to leverage pre-trained models, reducing the need for extensive data and computational resources. Recognizing the challenge of amassing several labeled datasets, we adopted the transfer learning method. Specifically, we utilize a pre-trained model from the Microsoft Common Objects in Context (MS COCO) dataset [8]. Additionally, our study includes an analysis of the performance of transfer learning, with experiments involving the freezing of layers in the initial stages of the Mask R-CNN, YOLOv7, and YOLOv8 models. In the next section, we will delve into the algorithms utilized in this project.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Algorithms and methodology: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Mask R-CNN</w:t>
      </w:r>
      <w:r>
        <w:rPr>
          <w:rFonts w:ascii="Ubuntu" w:hAnsi="Ubuntu"/>
        </w:rPr>
        <w:t xml:space="preserve">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The backbone of Mask R-CNN is Res Net, which handles the vanishing gradient problem in deep networks by introducing skip or residual connections, and it is integrated with a Feature Pyramid Network (FPN) to improve model detection accuracy and training time. Feature Pyramid Network is a top-down architecture with lateral connections developed to extract and build high-level semantic feature maps at different spatial resolutions by a bottom-up pathway, a top-down pathway, and lateral connections [19]. 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The predicted bounding box and mask corresponding to the highest class score is the final prediction for each region. The total architecture is shown    below </w:t>
      </w:r>
      <w:r>
        <w:rPr>
          <w:rFonts w:ascii="Ubuntu" w:hAnsi="Ubuntu"/>
        </w:rPr>
        <w:t>in</w:t>
      </w:r>
      <w:r>
        <w:rPr>
          <w:rFonts w:ascii="Ubuntu" w:hAnsi="Ubuntu"/>
        </w:rPr>
        <w:t xml:space="preserve"> Figure 1.</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rPr>
        <w:t>Figure 1</w:t>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ascii="Ubuntu" w:hAnsi="Ubuntu"/>
        </w:rPr>
        <w:t xml:space="preserve">                                                               </w:t>
      </w:r>
      <w:r>
        <w:rPr>
          <w:rFonts w:ascii="Ubuntu" w:hAnsi="Ubuntu"/>
        </w:rPr>
        <w:t>Figure 3</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YOLOv7 (CSPDarknet53 with E-ELAN, CSP, PAN, BiFPN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YOLOv7 introduces several innovative features to enhance detection accuracy. One standout is its multi-head architecture, which incorporates a unique approach. Additionally, it implements the E-ELAN network, surpassing its predecessors in efficiency by focusing on layer aggregation. This network consists of residual blocks, each housing expand, shuffle, and merge cardinality operations. In the design of YOLOv7, a series of actions, including expansion, channel mixing, and merging, work in harmony to significantly enhance the network's learning capacity. The integration of the Bidirectional Feature Pyramid Network is particularly noteworthy. This design aims to optimize the flow of information throughout the network, significantly improving object detection accuracy. Building on this, the Path Aggregate Network enhances the structure by strengthening connections between feature pyramid levels. As a result, the features at each level of the feature pyramid may be combined to increase their degree of information[20]. YOLOv7's architectural advancements don't stop there. It introduces a dual-head system for detection. The auxiliary head, being the first, is pivotal during training phases in intermediate layers, as it predicts coarse bounding boxes and class probabilities. On the other hand, the lead head focuses on final detection outcomes, forecasting precise bounding boxes and class probabilities. Further, refinement comes through a deliberate model re-parameterization strategy. Especially the identity connection is omitted in RepConv. This strategic design enhances gradient diversity for different feature maps, optimizing the network structure. Another notable aspect of YOLOv7 is its dynamic feature, which reviews model outcomes and ground truths, assigning soft labels to detected objects. These soft labels, derived from ground truth, contribute to fine-tuning predictions. Lastly, YOLOv7 collaborates with YOLACT, known for its rapid instance segmentation capabilities. While YOLACT autonomously handles instance segmentation tasks on feature maps without requiring bounding box regression, it's important to note that its accuracy slightly lags behind multi-stage algorithms like Mask R-CNN.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YOLOv8  (</w:t>
      </w:r>
      <w:r>
        <w:rPr>
          <w:rFonts w:ascii="Google Sans;Helvetica Neue;sans" w:hAnsi="Google Sans;Helvetica Neue;sans"/>
          <w:color w:val="1F1F1F"/>
          <w:sz w:val="21"/>
        </w:rPr>
        <w:t>CSPDarknet53 with ShuffleNetV2 and ResBlockV2</w:t>
      </w:r>
      <w:r>
        <w:rPr>
          <w:rFonts w:ascii="Google Sans;Helvetica Neue;sans" w:hAnsi="Google Sans;Helvetica Neue;sans"/>
          <w:b/>
          <w:bCs/>
          <w:color w:val="1F1F1F"/>
          <w:sz w:val="21"/>
        </w:rPr>
        <w:t xml:space="preserve">, </w:t>
      </w:r>
      <w:r>
        <w:rPr>
          <w:rFonts w:ascii="Google Sans;Helvetica Neue;sans" w:hAnsi="Google Sans;Helvetica Neue;sans"/>
          <w:bCs/>
          <w:color w:val="1F1F1F"/>
          <w:sz w:val="21"/>
        </w:rPr>
        <w:t>C2f, SPPF</w:t>
      </w:r>
      <w:r>
        <w:rPr>
          <w:rFonts w:ascii="Google Sans;Helvetica Neue;sans" w:hAnsi="Google Sans;Helvetica Neue;sans"/>
          <w:b/>
          <w:bCs/>
          <w:color w:val="1F1F1F"/>
          <w:sz w:val="21"/>
        </w:rPr>
        <w:t>)</w:t>
      </w:r>
    </w:p>
    <w:p>
      <w:pPr>
        <w:pStyle w:val="Normal"/>
        <w:spacing w:before="0" w:after="0"/>
        <w:jc w:val="both"/>
        <w:rPr>
          <w:rFonts w:ascii="Ubuntu" w:hAnsi="Ubuntu"/>
        </w:rPr>
      </w:pPr>
      <w:r>
        <w:rPr>
          <w:rFonts w:ascii="Ubuntu" w:hAnsi="Ubuntu"/>
        </w:rPr>
      </w:r>
    </w:p>
    <w:p>
      <w:pPr>
        <w:pStyle w:val="Normal"/>
        <w:spacing w:lineRule="auto" w:line="240" w:before="0" w:after="0"/>
        <w:jc w:val="both"/>
        <w:rPr/>
      </w:pPr>
      <w:r>
        <w:rPr>
          <w:rFonts w:eastAsia="Times New Roman" w:ascii="Ubuntu" w:hAnsi="Ubuntu"/>
          <w:color w:val="0E101A"/>
          <w:kern w:val="0"/>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lang w:bidi="ar-SA"/>
        </w:rPr>
      </w:pPr>
      <w:r>
        <w:rPr>
          <w:rFonts w:eastAsia="Times New Roman" w:ascii="Ubuntu" w:hAnsi="Ubuntu"/>
          <w:color w:val="0E101A"/>
          <w:kern w:val="0"/>
          <w:lang w:bidi="ar-SA"/>
        </w:rPr>
      </w:r>
    </w:p>
    <w:p>
      <w:pPr>
        <w:pStyle w:val="Normal"/>
        <w:spacing w:lineRule="auto" w:line="240" w:before="0" w:after="0"/>
        <w:jc w:val="both"/>
        <w:rPr/>
      </w:pPr>
      <w:r>
        <w:rPr>
          <w:rFonts w:eastAsia="Times New Roman" w:ascii="Ubuntu" w:hAnsi="Ubuntu"/>
          <w:color w:val="0E101A"/>
          <w:kern w:val="0"/>
          <w:lang w:bidi="ar-SA"/>
        </w:rPr>
        <w:t>YOLOv8 has several key strengths:</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A lightweight network architecture.</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Efficient feature fusion techniques.</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Enhanced detection accuracy by combining features from several real-time object detectors.</w:t>
      </w:r>
    </w:p>
    <w:p>
      <w:pPr>
        <w:pStyle w:val="Normal"/>
        <w:numPr>
          <w:ilvl w:val="0"/>
          <w:numId w:val="2"/>
        </w:numPr>
        <w:spacing w:lineRule="auto" w:line="240" w:before="0" w:after="0"/>
        <w:ind w:left="360" w:hanging="360"/>
        <w:jc w:val="both"/>
        <w:rPr>
          <w:rFonts w:ascii="Ubuntu" w:hAnsi="Ubuntu" w:eastAsia="Times New Roman"/>
          <w:color w:val="0E101A"/>
          <w:kern w:val="0"/>
          <w:vertAlign w:val="superscript"/>
          <w:lang w:bidi="ar-SA"/>
        </w:rPr>
      </w:pPr>
      <w:r>
        <w:rPr>
          <w:rFonts w:eastAsia="Times New Roman" w:ascii="Ubuntu" w:hAnsi="Ubuntu"/>
          <w:color w:val="0E101A"/>
          <w:kern w:val="0"/>
          <w:vertAlign w:val="superscript"/>
          <w:lang w:bidi="ar-SA"/>
        </w:rPr>
      </w:r>
    </w:p>
    <w:p>
      <w:pPr>
        <w:pStyle w:val="Normal"/>
        <w:spacing w:lineRule="auto" w:line="240" w:before="0" w:after="0"/>
        <w:jc w:val="both"/>
        <w:rPr/>
      </w:pPr>
      <w:r>
        <w:rPr>
          <w:rFonts w:eastAsia="Times New Roman" w:ascii="Ubuntu" w:hAnsi="Ubuntu"/>
          <w:color w:val="0E101A"/>
          <w:kern w:val="0"/>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lang w:bidi="ar-SA"/>
        </w:rPr>
      </w:pPr>
      <w:r>
        <w:rPr>
          <w:rFonts w:eastAsia="Times New Roman" w:ascii="Ubuntu" w:hAnsi="Ubuntu"/>
          <w:color w:val="0E101A"/>
          <w:kern w:val="0"/>
          <w:lang w:bidi="ar-SA"/>
        </w:rPr>
      </w:r>
    </w:p>
    <w:p>
      <w:pPr>
        <w:pStyle w:val="Normal"/>
        <w:spacing w:lineRule="auto" w:line="240" w:before="0" w:after="0"/>
        <w:jc w:val="both"/>
        <w:rPr/>
      </w:pPr>
      <w:r>
        <w:rPr/>
        <w:drawing>
          <wp:inline distT="0" distB="0" distL="0" distR="0">
            <wp:extent cx="3200400" cy="2913380"/>
            <wp:effectExtent l="0" t="0" r="0" b="0"/>
            <wp:docPr id="2"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screenshot of a computer&#10;&#10;Description automatically generated"/>
                    <pic:cNvPicPr>
                      <a:picLocks noChangeAspect="1" noChangeArrowheads="1"/>
                    </pic:cNvPicPr>
                  </pic:nvPicPr>
                  <pic:blipFill>
                    <a:blip r:embed="rId3"/>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Our research and results</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b/>
          <w:bCs/>
        </w:rPr>
        <w:t>Sample Images:</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rPr>
        <w:t xml:space="preserve"> </w:t>
      </w:r>
      <w:r>
        <w:rPr/>
        <w:drawing>
          <wp:inline distT="0" distB="0" distL="0" distR="0">
            <wp:extent cx="2328545" cy="2328545"/>
            <wp:effectExtent l="0" t="0" r="0" b="0"/>
            <wp:docPr id="3"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close-up of a white surface&#10;&#10;Description automatically generated"/>
                    <pic:cNvPicPr>
                      <a:picLocks noChangeAspect="1" noChangeArrowheads="1"/>
                    </pic:cNvPicPr>
                  </pic:nvPicPr>
                  <pic:blipFill>
                    <a:blip r:embed="rId4"/>
                    <a:stretch>
                      <a:fillRect/>
                    </a:stretch>
                  </pic:blipFill>
                  <pic:spPr bwMode="auto">
                    <a:xfrm>
                      <a:off x="0" y="0"/>
                      <a:ext cx="2328545" cy="2328545"/>
                    </a:xfrm>
                    <a:prstGeom prst="rect">
                      <a:avLst/>
                    </a:prstGeom>
                  </pic:spPr>
                </pic:pic>
              </a:graphicData>
            </a:graphic>
          </wp:inline>
        </w:drawing>
      </w:r>
      <w:r>
        <w:rPr>
          <w:rFonts w:ascii="Ubuntu" w:hAnsi="Ubuntu"/>
        </w:rPr>
        <w:t xml:space="preserve">       </w:t>
      </w:r>
      <w:r>
        <w:rPr/>
        <w:drawing>
          <wp:inline distT="0" distB="0" distL="0" distR="0">
            <wp:extent cx="2313305" cy="2313305"/>
            <wp:effectExtent l="0" t="0" r="0" b="0"/>
            <wp:docPr id="4"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erson wearing a harness&#10;&#10;Description automatically generated"/>
                    <pic:cNvPicPr>
                      <a:picLocks noChangeAspect="1" noChangeArrowheads="1"/>
                    </pic:cNvPicPr>
                  </pic:nvPicPr>
                  <pic:blipFill>
                    <a:blip r:embed="rId5"/>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 </w:t>
      </w:r>
    </w:p>
    <w:p>
      <w:pPr>
        <w:pStyle w:val="Normal"/>
        <w:spacing w:before="0" w:after="0"/>
        <w:jc w:val="both"/>
        <w:rPr>
          <w:rFonts w:ascii="Ubuntu" w:hAnsi="Ubuntu"/>
        </w:rPr>
      </w:pPr>
      <w:r>
        <w:rPr>
          <w:rFonts w:ascii="Ubuntu" w:hAnsi="Ubuntu"/>
        </w:rPr>
      </w:r>
    </w:p>
    <w:p>
      <w:pPr>
        <w:pStyle w:val="Normal"/>
        <w:spacing w:before="0" w:after="0"/>
        <w:jc w:val="both"/>
        <w:rPr/>
      </w:pPr>
      <w:bookmarkStart w:id="6" w:name="_Toc119503994"/>
      <w:r>
        <w:rPr>
          <w:rFonts w:ascii="Ubuntu" w:hAnsi="Ubuntu"/>
        </w:rPr>
        <w:t>Table1. Performance comparison between Mask R-CNN. YOLOv7</w:t>
      </w:r>
      <w:bookmarkEnd w:id="6"/>
      <w:r>
        <w:rPr>
          <w:rFonts w:ascii="Ubuntu" w:hAnsi="Ubuntu"/>
        </w:rPr>
        <w:t>, and YOLOV8</w:t>
      </w:r>
    </w:p>
    <w:p>
      <w:pPr>
        <w:pStyle w:val="Normal"/>
        <w:spacing w:before="0" w:after="0"/>
        <w:jc w:val="both"/>
        <w:rPr>
          <w:rFonts w:ascii="Ubuntu" w:hAnsi="Ubuntu"/>
        </w:rPr>
      </w:pPr>
      <w:r>
        <w:rPr>
          <w:rFonts w:ascii="Ubuntu" w:hAnsi="Ubuntu"/>
        </w:rPr>
      </w:r>
    </w:p>
    <w:tbl>
      <w:tblPr>
        <w:tblW w:w="9242" w:type="dxa"/>
        <w:jc w:val="left"/>
        <w:tblInd w:w="0" w:type="dxa"/>
        <w:tblCellMar>
          <w:top w:w="0" w:type="dxa"/>
          <w:left w:w="108" w:type="dxa"/>
          <w:bottom w:w="0" w:type="dxa"/>
          <w:right w:w="108" w:type="dxa"/>
        </w:tblCellMar>
        <w:tblLook w:val="0000" w:noHBand="0" w:noVBand="0" w:firstColumn="0" w:lastRow="0" w:lastColumn="0" w:firstRow="0"/>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0%</w:t>
            </w:r>
            <w:bookmarkStart w:id="7" w:name="_Hlk142919216"/>
            <w:bookmarkStart w:id="8" w:name="_Hlk142918858"/>
            <w:bookmarkEnd w:id="7"/>
            <w:bookmarkEnd w:id="8"/>
          </w:p>
        </w:tc>
      </w:tr>
    </w:tbl>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tbl>
      <w:tblPr>
        <w:tblW w:w="5612" w:type="dxa"/>
        <w:jc w:val="left"/>
        <w:tblInd w:w="0" w:type="dxa"/>
        <w:tblCellMar>
          <w:top w:w="0" w:type="dxa"/>
          <w:left w:w="108" w:type="dxa"/>
          <w:bottom w:w="0" w:type="dxa"/>
          <w:right w:w="108" w:type="dxa"/>
        </w:tblCellMar>
        <w:tblLook w:val="0000" w:noHBand="0" w:noVBand="0" w:firstColumn="0" w:lastRow="0" w:lastColumn="0" w:firstRow="0"/>
      </w:tblPr>
      <w:tblGrid>
        <w:gridCol w:w="2339"/>
        <w:gridCol w:w="1450"/>
        <w:gridCol w:w="1823"/>
      </w:tblGrid>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 xml:space="preserve">Performance of different IoU’s </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Detection</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Segmentation</w:t>
            </w:r>
          </w:p>
        </w:tc>
      </w:tr>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mAP@IoU@default</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98.4%</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95.3%</w:t>
            </w:r>
          </w:p>
        </w:tc>
      </w:tr>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mAP@mask(0.6)</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94%/94.9%</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95.3%</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mAP@IoU(0.4)</w:t>
            </w:r>
          </w:p>
        </w:tc>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94.9%</w:t>
            </w:r>
          </w:p>
        </w:tc>
        <w:tc>
          <w:tcPr>
            <w:tcW w:w="18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96.3%</w:t>
            </w:r>
          </w:p>
        </w:tc>
      </w:tr>
    </w:tbl>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Conclusion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References</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95283"/>
      <w:bookmarkStart w:id="11" w:name="_Ref119022905"/>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8450413"/>
      <w:bookmarkStart w:id="14" w:name="_Ref119022964"/>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84504131"/>
      <w:bookmarkStart w:id="17" w:name="_Ref119022964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2439"/>
      <w:bookmarkStart w:id="25" w:name="_Ref1184518041"/>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6">
        <w:bookmarkStart w:id="28" w:name="_Ref118818252"/>
        <w:r>
          <w:rPr>
            <w:rStyle w:val="InternetLink"/>
            <w:rFonts w:cs="Arial" w:ascii="Ubuntu" w:hAnsi="Ubuntu"/>
            <w:sz w:val="24"/>
            <w:szCs w:val="24"/>
          </w:rPr>
          <w:t>https://roboflow.com</w:t>
        </w:r>
      </w:hyperlink>
      <w:hyperlink r:id="rId7">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spacing w:before="0" w:after="0"/>
        <w:ind w:left="144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rPr>
      </w:pPr>
      <w:r>
        <w:rPr>
          <w:rFonts w:ascii="Ubuntu" w:hAnsi="Ubuntu"/>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Path Aggregation Network for Instance Segmentation Shu Liu† Lu Qi† Haifang Qin§ Jianping Shi‡ Jiaya Jia†,[ †The Chinese University of Hong Kong §Peking University ‡SenseTime Research [YouTu Lab, Tencent arXiv:1803.01534v4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TextBody"/>
        <w:widowControl w:val="false"/>
        <w:tabs>
          <w:tab w:val="clear" w:pos="720"/>
          <w:tab w:val="left" w:pos="919" w:leader="none"/>
        </w:tabs>
        <w:spacing w:lineRule="auto" w:line="480" w:before="0" w:after="0"/>
        <w:jc w:val="both"/>
        <w:rPr>
          <w:rFonts w:ascii="Ubuntu" w:hAnsi="Ubuntu"/>
        </w:rPr>
      </w:pPr>
      <w:r>
        <w:rPr>
          <w:rFonts w:ascii="Ubuntu" w:hAnsi="Ubuntu"/>
        </w:rPr>
        <w:t>Wind turbines are pivotal in harnessing electricity sustainably from renewable resources. However, their blades face a multitude of environmental conditions, making them particularly vulnerable to wear and tear. Recognizing these vulnerabilities is crucial, as it not only underscores the importance of regular monitoring to mitigate risks but also highlights the need to minimize maintenance costs and time. Effective research in this area can provide proactive solutions to prevent structural damage, ensuring a consistent and uninterrupted power supply.</w:t>
      </w:r>
    </w:p>
    <w:p>
      <w:pPr>
        <w:pStyle w:val="TextBody"/>
        <w:rPr>
          <w:rFonts w:ascii="Ubuntu" w:hAnsi="Ubuntu"/>
        </w:rPr>
      </w:pPr>
      <w:r>
        <w:rPr/>
        <w:t>In our recent study, we zeroed in on the detection and segmentation of specific faults in turbine blades, namely surface damage and edge erosion. Additionally, we delved into two key components: lightning receptors and VG panels. Our approach was comprehensive; we compared the performance of three leading models—Mask R-CNN, YOLOv7, and YOLOv8—to determine the most proficient tool for detecting and segmenting these issues, aiming to bolster the longevity and reliability of wind turbines.</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Certainly, let's integrate these ideas more seamlessly to ensure flow and engagement:</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"Wind turbines are at the heart of sustainable electricity generation from renewable sources. Their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consistent supply of power.</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In light of this, our research delves into the intricate task of detection and segmentation of certain prevalent faults in turbine blades, specifically surface damage and edge erosion. Furthermore, we've extended our investigation to two crucial components: the lightning receptor and the VG panel. To ensure accuracy and efficiency in this endeavor, we've utilized and compared three state-of-the-art models: Mask R-CNN, YOLOv7, and YOLOv8. The goal? To ascertain which tool offers the most reliable results in both detection and segmentation, and ultimately, ensure the longevity and efficacy of wind turbines."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Cs w:val="24"/>
        <w:lang w:val="en-US" w:eastAsia="en-US" w:bidi="te-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uiPriority w:val="9"/>
    <w:qFormat/>
    <w:pPr>
      <w:keepNext w:val="true"/>
      <w:keepLines/>
      <w:spacing w:before="240" w:after="0"/>
      <w:outlineLvl w:val="0"/>
    </w:pPr>
    <w:rPr>
      <w:rFonts w:ascii="Calibri Light" w:hAnsi="Calibri Light" w:cs="Gautami"/>
      <w:color w:val="2F5496"/>
      <w:sz w:val="32"/>
      <w:szCs w:val="32"/>
    </w:rPr>
  </w:style>
  <w:style w:type="paragraph" w:styleId="Heading2">
    <w:name w:val="Heading 2"/>
    <w:basedOn w:val="Normal"/>
    <w:next w:val="Normal"/>
    <w:uiPriority w:val="9"/>
    <w:semiHidden/>
    <w:unhideWhenUsed/>
    <w:qFormat/>
    <w:pPr>
      <w:keepNext w:val="true"/>
      <w:keepLines/>
      <w:spacing w:before="40" w:after="0"/>
      <w:outlineLvl w:val="1"/>
    </w:pPr>
    <w:rPr>
      <w:rFonts w:ascii="Calibri Light" w:hAnsi="Calibri Light" w:cs="Gautami"/>
      <w:color w:val="2F5496"/>
      <w:sz w:val="26"/>
      <w:szCs w:val="26"/>
    </w:rPr>
  </w:style>
  <w:style w:type="paragraph" w:styleId="Heading3">
    <w:name w:val="Heading 3"/>
    <w:basedOn w:val="Normal"/>
    <w:next w:val="Normal"/>
    <w:uiPriority w:val="9"/>
    <w:semiHidden/>
    <w:unhideWhenUsed/>
    <w:qFormat/>
    <w:pPr>
      <w:keepNext w:val="true"/>
      <w:keepLines/>
      <w:spacing w:lineRule="auto" w:line="252" w:before="40" w:after="0"/>
      <w:outlineLvl w:val="2"/>
    </w:pPr>
    <w:rPr>
      <w:rFonts w:ascii="Calibri Light" w:hAnsi="Calibri Light" w:cs="Gautami"/>
      <w:color w:val="1F3763"/>
      <w:kern w:val="0"/>
      <w:lang w:bidi="ar-SA"/>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Calibri Light" w:hAnsi="Calibri Light" w:eastAsia="Calibri" w:cs="Gautami"/>
      <w:color w:val="1F3763"/>
      <w:kern w:val="0"/>
      <w:lang w:bidi="ar-SA"/>
    </w:rPr>
  </w:style>
  <w:style w:type="character" w:styleId="Heading2Char" w:customStyle="1">
    <w:name w:val="Heading 2 Char"/>
    <w:basedOn w:val="DefaultParagraphFont"/>
    <w:qFormat/>
    <w:rPr>
      <w:rFonts w:ascii="Calibri Light" w:hAnsi="Calibri Light" w:eastAsia="Calibri" w:cs="Gautami"/>
      <w:color w:val="2F5496"/>
      <w:sz w:val="26"/>
      <w:szCs w:val="26"/>
    </w:rPr>
  </w:style>
  <w:style w:type="character" w:styleId="Heading1Char" w:customStyle="1">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customStyle="1">
    <w:name w:val="inlineblock"/>
    <w:basedOn w:val="DefaultParagraphFont"/>
    <w:qFormat/>
    <w:rPr/>
  </w:style>
  <w:style w:type="character" w:styleId="Sciprofileslinkname" w:customStyle="1">
    <w:name w:val="sciprofiles-link__name"/>
    <w:basedOn w:val="DefaultParagraphFont"/>
    <w:qFormat/>
    <w:rPr/>
  </w:style>
  <w:style w:type="character" w:styleId="Placeholder" w:customStyle="1">
    <w:name w:val="Placeholder"/>
    <w:qFormat/>
    <w:rPr>
      <w:smallCaps/>
      <w:color w:val="008080"/>
      <w:u w:val="dotted"/>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hanging="0"/>
      <w:contextualSpacing/>
    </w:pPr>
    <w:rPr>
      <w:rFonts w:ascii="Calibri" w:hAnsi="Calibri" w:cs="Gautami"/>
      <w:kern w:val="0"/>
      <w:sz w:val="22"/>
      <w:szCs w:val="22"/>
      <w:lang w:bidi="ar-SA"/>
    </w:rPr>
  </w:style>
  <w:style w:type="paragraph" w:styleId="Default" w:customStyle="1">
    <w:name w:val="Default"/>
    <w:qFormat/>
    <w:pPr>
      <w:widowControl/>
      <w:suppressAutoHyphens w:val="true"/>
      <w:bidi w:val="0"/>
      <w:spacing w:before="0" w:after="0"/>
      <w:jc w:val="left"/>
    </w:pPr>
    <w:rPr>
      <w:rFonts w:ascii="Times New Roman" w:hAnsi="Times New Roman" w:cs="Times New Roman" w:eastAsia="Calibri"/>
      <w:color w:val="000000"/>
      <w:kern w:val="0"/>
      <w:sz w:val="24"/>
      <w:szCs w:val="24"/>
      <w:lang w:bidi="ar-SA" w:val="en-US" w:eastAsia="en-US"/>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roboflow.com/" TargetMode="External"/><Relationship Id="rId7" Type="http://schemas.openxmlformats.org/officeDocument/2006/relationships/hyperlink" Target="https://roboflow.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23186</TotalTime>
  <Application>LibreOffice/6.4.7.2$Linux_X86_64 LibreOffice_project/40$Build-2</Application>
  <Pages>11</Pages>
  <Words>2889</Words>
  <Characters>17235</Characters>
  <CharactersWithSpaces>20110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2023-10-09T16:07:18Z</dcterms:modified>
  <cp:revision>303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