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w:t>
      </w:r>
      <w:r>
        <w:rPr>
          <w:rFonts w:eastAsia="Calibri" w:cs="Arial" w:ascii="Ubuntu" w:hAnsi="Ubuntu"/>
          <w:color w:val="auto"/>
          <w:kern w:val="2"/>
          <w:sz w:val="24"/>
          <w:szCs w:val="24"/>
          <w:lang w:val="en-US" w:eastAsia="en-US" w:bidi="te-IN"/>
        </w:rPr>
        <w:t>Wind turbine blades</w:t>
      </w:r>
      <w:r>
        <w:rPr>
          <w:rFonts w:ascii="Ubuntu" w:hAnsi="Ubuntu"/>
          <w:sz w:val="24"/>
          <w:szCs w:val="24"/>
        </w:rPr>
        <w:t xml:space="preserve"> are exposed to various environmental conditions, and their components are susceptible to damage. To reduce risk, maintenance costs, and time, it's essential to consistently monitor turbine blades. </w:t>
      </w:r>
    </w:p>
    <w:p>
      <w:pPr>
        <w:pStyle w:val="Normal"/>
        <w:spacing w:before="0" w:after="0"/>
        <w:jc w:val="both"/>
        <w:rPr/>
      </w:pPr>
      <w:r>
        <w:rPr>
          <w:rFonts w:ascii="Ubuntu" w:hAnsi="Ubuntu"/>
          <w:sz w:val="24"/>
          <w:szCs w:val="24"/>
        </w:rPr>
        <w:t>Research also helps to prevent structural damage</w:t>
      </w:r>
      <w:r>
        <w:rPr>
          <w:rFonts w:ascii="Ubuntu" w:hAnsi="Ubuntu"/>
          <w:sz w:val="24"/>
          <w:szCs w:val="24"/>
        </w:rPr>
        <w:t>s</w:t>
      </w:r>
      <w:r>
        <w:rPr>
          <w:rFonts w:ascii="Ubuntu" w:hAnsi="Ubuntu"/>
          <w:sz w:val="24"/>
          <w:szCs w:val="24"/>
        </w:rPr>
        <w:t xml:space="preserve"> and ensure consistent power supply,  </w:t>
      </w:r>
    </w:p>
    <w:p>
      <w:pPr>
        <w:pStyle w:val="Normal"/>
        <w:spacing w:before="0" w:after="0"/>
        <w:jc w:val="both"/>
        <w:rPr>
          <w:rFonts w:ascii="Ubuntu" w:hAnsi="Ubuntu"/>
          <w:sz w:val="24"/>
          <w:szCs w:val="24"/>
        </w:rPr>
      </w:pPr>
      <w:r>
        <w:rPr/>
      </w:r>
    </w:p>
    <w:p>
      <w:pPr>
        <w:pStyle w:val="Normal"/>
        <w:spacing w:before="0" w:after="0"/>
        <w:jc w:val="both"/>
        <w:rPr/>
      </w:pPr>
      <w:r>
        <w:rPr>
          <w:rFonts w:ascii="Ubuntu" w:hAnsi="Ubuntu"/>
          <w:sz w:val="24"/>
          <w:szCs w:val="24"/>
        </w:rPr>
        <w:t xml:space="preserve">This research helps to investigate and analyze the damage to wind turbine blades. </w:t>
      </w:r>
    </w:p>
    <w:p>
      <w:pPr>
        <w:pStyle w:val="Normal"/>
        <w:spacing w:before="0" w:after="0"/>
        <w:jc w:val="both"/>
        <w:rPr>
          <w:rFonts w:ascii="Ubuntu" w:hAnsi="Ubuntu"/>
          <w:sz w:val="24"/>
          <w:szCs w:val="24"/>
        </w:rPr>
      </w:pPr>
      <w:r>
        <w:rPr/>
      </w:r>
    </w:p>
    <w:p>
      <w:pPr>
        <w:pStyle w:val="Normal"/>
        <w:spacing w:before="0" w:after="0"/>
        <w:jc w:val="both"/>
        <w:rPr/>
      </w:pPr>
      <w:r>
        <w:rPr>
          <w:rFonts w:ascii="Ubuntu" w:hAnsi="Ubuntu"/>
          <w:sz w:val="24"/>
          <w:szCs w:val="24"/>
        </w:rPr>
        <w:t xml:space="preserve">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United States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[11].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 xml:space="preserve">Path Aggregate Network works by adding lateral connections between the different levels of the feature pyramid. This allows features from all levels of the feature pyramid to be aggregated at each level, which makes the features at each level more informative[20].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YOLOv7 is also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21526</TotalTime>
  <Application>LibreOffice/6.4.7.2$Linux_X86_64 LibreOffice_project/40$Build-2</Application>
  <Pages>10</Pages>
  <Words>2733</Words>
  <Characters>15600</Characters>
  <CharactersWithSpaces>18370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2023-10-07T09:18:45Z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