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5334000" cy="11112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Пример Бренда</w:t>
      </w:r>
      <w:r>
        <w:t xml:space="preserve"> </w:t>
      </w:r>
      <w:r>
        <w:t xml:space="preserve">ООО «Пример Бренда»</w:t>
      </w:r>
      <w:r>
        <w:t xml:space="preserve"> </w:t>
      </w:r>
      <w:r>
        <w:t xml:space="preserve">https://example.com | hello@example.com | +7 (999) 123-45-67 | Россия, Москва, Примерная улица, 1</w:t>
      </w:r>
      <w:r>
        <w:t xml:space="preserve"> </w:t>
      </w:r>
      <w:r>
        <w:t xml:space="preserve">ИНН 7700000000</w:t>
      </w:r>
      <w:r>
        <w:t xml:space="preserve"> </w:t>
      </w:r>
      <w:r>
        <w:t xml:space="preserve">ОГРН 1027700000000</w:t>
      </w:r>
      <w:r>
        <w:t xml:space="preserve"> </w:t>
      </w:r>
      <w:r>
        <w:t xml:space="preserve">р/с 40702810000000000000 в АО «Банк»</w:t>
      </w:r>
      <w:r>
        <w:t xml:space="preserve"> </w:t>
      </w:r>
      <w:r>
        <w:t xml:space="preserve">БИК 044525000</w:t>
      </w:r>
    </w:p>
    <w:p>
      <w:r>
        <w:pict>
          <v:rect style="width:0;height:1.5pt" o:hralign="center" o:hrstd="t" o:hr="t"/>
        </w:pict>
      </w:r>
    </w:p>
    <w:bookmarkStart w:id="31" w:name="аудит-сайта-kuklapups.ru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Аудит сайта kuklapups.ru</w:t>
      </w:r>
    </w:p>
    <w:bookmarkStart w:id="12" w:name="как-читать-этот-документ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Как читать этот документ</w:t>
      </w:r>
    </w:p>
    <w:p>
      <w:pPr>
        <w:pStyle w:val="FirstParagraph"/>
      </w:pPr>
      <w:r>
        <w:t xml:space="preserve">Формат документа:</w:t>
      </w:r>
    </w:p>
    <w:p>
      <w:pPr>
        <w:pStyle w:val="Compact"/>
        <w:numPr>
          <w:ilvl w:val="0"/>
          <w:numId w:val="1001"/>
        </w:numPr>
      </w:pPr>
      <w:r>
        <w:t xml:space="preserve">сначала краткий вывод и сводные индексы;</w:t>
      </w:r>
    </w:p>
    <w:p>
      <w:pPr>
        <w:pStyle w:val="Compact"/>
        <w:numPr>
          <w:ilvl w:val="0"/>
          <w:numId w:val="1001"/>
        </w:numPr>
      </w:pPr>
      <w:r>
        <w:t xml:space="preserve">затем подробный разбор ограничений и приоритетов работ;</w:t>
      </w:r>
    </w:p>
    <w:p>
      <w:pPr>
        <w:pStyle w:val="Compact"/>
        <w:numPr>
          <w:ilvl w:val="0"/>
          <w:numId w:val="1001"/>
        </w:numPr>
      </w:pPr>
      <w:r>
        <w:t xml:space="preserve">в конце — план действий по этапам и показатели, по которым можно отслеживать эффект.</w:t>
      </w:r>
    </w:p>
    <w:p>
      <w:pPr>
        <w:pStyle w:val="FirstParagraph"/>
      </w:pPr>
      <w:r>
        <w:t xml:space="preserve">Кратко как проходил аудит:</w:t>
      </w:r>
    </w:p>
    <w:p>
      <w:pPr>
        <w:pStyle w:val="Compact"/>
        <w:numPr>
          <w:ilvl w:val="0"/>
          <w:numId w:val="1002"/>
        </w:numPr>
      </w:pPr>
      <w:r>
        <w:t xml:space="preserve">обход сайта и сбор HTML-страниц и структуры ссылок;</w:t>
      </w:r>
    </w:p>
    <w:p>
      <w:pPr>
        <w:pStyle w:val="Compact"/>
        <w:numPr>
          <w:ilvl w:val="0"/>
          <w:numId w:val="1002"/>
        </w:numPr>
      </w:pPr>
      <w:r>
        <w:t xml:space="preserve">технический анализ: протокол (HTTP/HTTPS), каноникал, sitemap, статус-коды и базовое качество страниц;</w:t>
      </w:r>
    </w:p>
    <w:p>
      <w:pPr>
        <w:pStyle w:val="Compact"/>
        <w:numPr>
          <w:ilvl w:val="0"/>
          <w:numId w:val="1002"/>
        </w:numPr>
      </w:pPr>
      <w:r>
        <w:t xml:space="preserve">смысловой анализ: типы страниц, ключевые блоки (ценность, процесс, цены, FAQ, доверие, контакты и др.);</w:t>
      </w:r>
    </w:p>
    <w:p>
      <w:pPr>
        <w:pStyle w:val="Compact"/>
        <w:numPr>
          <w:ilvl w:val="0"/>
          <w:numId w:val="1002"/>
        </w:numPr>
      </w:pPr>
      <w:r>
        <w:t xml:space="preserve">извлечение сущностей и фактов (что, где, для кого и на каких условиях вы предлагаете);</w:t>
      </w:r>
    </w:p>
    <w:p>
      <w:pPr>
        <w:pStyle w:val="Compact"/>
        <w:numPr>
          <w:ilvl w:val="0"/>
          <w:numId w:val="1002"/>
        </w:numPr>
      </w:pPr>
      <w:r>
        <w:t xml:space="preserve">расчёт покрытий и противоречий по ключевым бизнес-сигналам;</w:t>
      </w:r>
    </w:p>
    <w:p>
      <w:pPr>
        <w:pStyle w:val="Compact"/>
        <w:numPr>
          <w:ilvl w:val="0"/>
          <w:numId w:val="1002"/>
        </w:numPr>
      </w:pPr>
      <w:r>
        <w:t xml:space="preserve">построение индексов готовности (SEO, GEO, AEO, AIO, LEO) и приоритизация доработок.</w:t>
      </w:r>
    </w:p>
    <w:p>
      <w:pPr>
        <w:pStyle w:val="FirstParagraph"/>
      </w:pPr>
      <w:r>
        <w:t xml:space="preserve">Как понимать индексы:</w:t>
      </w:r>
    </w:p>
    <w:p>
      <w:pPr>
        <w:pStyle w:val="Compact"/>
        <w:numPr>
          <w:ilvl w:val="0"/>
          <w:numId w:val="1003"/>
        </w:numPr>
      </w:pPr>
      <w:r>
        <w:t xml:space="preserve">AI Readiness показывает общую готовность сайта к корректному чтению и использованию в AI-сценариях;</w:t>
      </w:r>
    </w:p>
    <w:p>
      <w:pPr>
        <w:pStyle w:val="Compact"/>
        <w:numPr>
          <w:ilvl w:val="0"/>
          <w:numId w:val="1003"/>
        </w:numPr>
      </w:pPr>
      <w:r>
        <w:t xml:space="preserve">Generative Visibility — вероятность того, что сайт станет источником для генеративных ответов и обзоров;</w:t>
      </w:r>
    </w:p>
    <w:p>
      <w:pPr>
        <w:pStyle w:val="Compact"/>
        <w:numPr>
          <w:ilvl w:val="0"/>
          <w:numId w:val="1003"/>
        </w:numPr>
      </w:pPr>
      <w:r>
        <w:t xml:space="preserve">Answer Fitness — насколько страницы помогают давать быстрые и однозначные ответы на вопросы клиентов;</w:t>
      </w:r>
    </w:p>
    <w:p>
      <w:pPr>
        <w:pStyle w:val="Compact"/>
        <w:numPr>
          <w:ilvl w:val="0"/>
          <w:numId w:val="1003"/>
        </w:numPr>
      </w:pPr>
      <w:r>
        <w:t xml:space="preserve">значения ниже 40 — критическая зона, 40–59 — зона улучшений, 60–79 — рабочий уровень, 80+ — сильный уровень.</w:t>
      </w:r>
    </w:p>
    <w:bookmarkEnd w:id="12"/>
    <w:bookmarkStart w:id="13" w:name="краткий-вывод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Краткий вывод</w:t>
      </w:r>
    </w:p>
    <w:p>
      <w:pPr>
        <w:pStyle w:val="Compact"/>
        <w:numPr>
          <w:ilvl w:val="0"/>
          <w:numId w:val="1004"/>
        </w:numPr>
      </w:pPr>
      <w:r>
        <w:t xml:space="preserve">Аудит показал, что коммерческий сайт сейчас находится в состоянии «слабый уровень» по клиентской и цифровой логике готовности сайта. В анализ вошли 30 страниц, индекс потенциала заявок составляет 10.6 из 100 — это оценка того, насколько текущая структура и содержание сайта помогают превращать интерес в реальные обращения.</w:t>
      </w:r>
    </w:p>
    <w:p>
      <w:pPr>
        <w:pStyle w:val="Compact"/>
        <w:numPr>
          <w:ilvl w:val="0"/>
          <w:numId w:val="1004"/>
        </w:numPr>
      </w:pPr>
      <w:r>
        <w:t xml:space="preserve">Проблема сайта не в полном отсутствии фундамента, а в том, что часть целевого спроса и доверия теряется на ключевых страницах.</w:t>
      </w:r>
    </w:p>
    <w:p>
      <w:pPr>
        <w:pStyle w:val="Compact"/>
        <w:numPr>
          <w:ilvl w:val="0"/>
          <w:numId w:val="1004"/>
        </w:numPr>
      </w:pPr>
      <w:r>
        <w:t xml:space="preserve">Самые заметные ограничения сейчас сосредоточены вокруг блоков: социальное доказательство, политика Strict-Transport-Security, пошаговый сценарий работы.</w:t>
      </w:r>
    </w:p>
    <w:p>
      <w:pPr>
        <w:pStyle w:val="Compact"/>
        <w:numPr>
          <w:ilvl w:val="0"/>
          <w:numId w:val="1004"/>
        </w:numPr>
      </w:pPr>
      <w:r>
        <w:t xml:space="preserve">Это означает, что сайт можно усиливать поэтапно, без полной переделки с нуля, но с обязательной фиксацией стандартов для основных шаблонов.</w:t>
      </w:r>
    </w:p>
    <w:p>
      <w:pPr>
        <w:pStyle w:val="Compact"/>
        <w:numPr>
          <w:ilvl w:val="0"/>
          <w:numId w:val="1004"/>
        </w:numPr>
      </w:pPr>
      <w:r>
        <w:t xml:space="preserve">Сейчас зафиксировано 7 приоритетных (P0) пробелов в ключевых блоках — это самые критичные недостающие элементы на важных страницах.</w:t>
      </w:r>
    </w:p>
    <w:bookmarkEnd w:id="13"/>
    <w:bookmarkStart w:id="14" w:name="что-оценивалось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Что оценивалось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Readiness</w:t>
      </w:r>
      <w:r>
        <w:t xml:space="preserve">: Сводный показатель по измеряемым legacy-факторам, связанным с технической, контентной и смысловой готовностью сайта.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Generative Visibility</w:t>
      </w:r>
      <w:r>
        <w:t xml:space="preserve">: Показатель пригодности сайта для генеративной выдачи, AI-рекомендаций и AI-обзоров.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Answer Fitness</w:t>
      </w:r>
      <w:r>
        <w:t xml:space="preserve">: Показатель того, насколько сайт помогает быстро закрывать вопрос пользователя содержанием и структурой страницы.</w:t>
      </w:r>
    </w:p>
    <w:bookmarkEnd w:id="14"/>
    <w:bookmarkStart w:id="15" w:name="сводные-индексы-состояния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Сводные индексы состояния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Индекс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Интерпретация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Readiness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74.0 / 100</w:t>
            </w:r>
          </w:p>
        </w:tc>
        <w:tc>
          <w:tcPr/>
          <w:p>
            <w:pPr>
              <w:pStyle w:val="Compact"/>
            </w:pPr>
            <w:r>
              <w:t xml:space="preserve">Насколько сайт в целом готов к устойчивой интерпретации, доверию и использованию в AI-сценариях. Текущее состояние: рабочий уровень.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Generative Visibility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69.8 / 100</w:t>
            </w:r>
          </w:p>
        </w:tc>
        <w:tc>
          <w:tcPr/>
          <w:p>
            <w:pPr>
              <w:pStyle w:val="Compact"/>
            </w:pPr>
            <w:r>
              <w:t xml:space="preserve">Насколько сайт пригоден быть источником для генеративной выдачи и AI-рекомендаций. Текущее состояние: рабочий уровень.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Fitness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78.2 / 100</w:t>
            </w:r>
          </w:p>
        </w:tc>
        <w:tc>
          <w:tcPr/>
          <w:p>
            <w:pPr>
              <w:pStyle w:val="Compact"/>
            </w:pPr>
            <w:r>
              <w:t xml:space="preserve">Насколько сайт умеет быстро, однозначно и полезно отвечать на вопрос пользователя. Текущее состояние: рабочий уровень.</w:t>
            </w:r>
          </w:p>
        </w:tc>
      </w:tr>
    </w:tbl>
    <w:bookmarkEnd w:id="15"/>
    <w:bookmarkStart w:id="16" w:name="сильные-стороны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Сильные стороны</w:t>
      </w:r>
    </w:p>
    <w:p>
      <w:pPr>
        <w:pStyle w:val="Compact"/>
        <w:numPr>
          <w:ilvl w:val="0"/>
          <w:numId w:val="1006"/>
        </w:numPr>
      </w:pPr>
      <w:r>
        <w:t xml:space="preserve">Сайт уже индексируется и отдает рабочий набор страниц для анализа.</w:t>
      </w:r>
    </w:p>
    <w:p>
      <w:pPr>
        <w:pStyle w:val="Compact"/>
        <w:numPr>
          <w:ilvl w:val="0"/>
          <w:numId w:val="1006"/>
        </w:numPr>
      </w:pPr>
      <w:r>
        <w:t xml:space="preserve">Базовый каркас сайта существует, поэтому речь идет о доработке, а не о полной сборке заново.</w:t>
      </w:r>
    </w:p>
    <w:p>
      <w:pPr>
        <w:pStyle w:val="Compact"/>
        <w:numPr>
          <w:ilvl w:val="0"/>
          <w:numId w:val="1006"/>
        </w:numPr>
      </w:pPr>
      <w:r>
        <w:t xml:space="preserve">Пакет аудита уже дает доказательную базу для поэтапного плана внедрения.</w:t>
      </w:r>
    </w:p>
    <w:bookmarkEnd w:id="16"/>
    <w:bookmarkStart w:id="21" w:name="X7c6bdc514add5fda40392e47c1be81595e7b0e0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Ключевые ограничения, которые сейчас мешают росту</w:t>
      </w:r>
    </w:p>
    <w:bookmarkStart w:id="17" w:name="коммерческая-категория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Коммерческая категория</w:t>
      </w:r>
    </w:p>
    <w:p>
      <w:pPr>
        <w:pStyle w:val="FirstParagraph"/>
      </w:pPr>
      <w:r>
        <w:rPr>
          <w:b/>
          <w:bCs/>
        </w:rPr>
        <w:t xml:space="preserve">Что анализировалось:</w:t>
      </w:r>
      <w:r>
        <w:t xml:space="preserve"> </w:t>
      </w:r>
      <w:r>
        <w:t xml:space="preserve">Анализировались страницы типа «коммерческая категория», их покрытие ключевыми блоками, наличие доверительных и технических сигналов, а также готовность страницы объяснять предложение.</w:t>
      </w:r>
    </w:p>
    <w:p>
      <w:pPr>
        <w:pStyle w:val="BodyText"/>
      </w:pPr>
      <w:r>
        <w:rPr>
          <w:b/>
          <w:bCs/>
        </w:rPr>
        <w:t xml:space="preserve">Наблюдения:</w:t>
      </w:r>
    </w:p>
    <w:p>
      <w:pPr>
        <w:pStyle w:val="Compact"/>
        <w:numPr>
          <w:ilvl w:val="0"/>
          <w:numId w:val="1007"/>
        </w:numPr>
      </w:pPr>
      <w:r>
        <w:t xml:space="preserve">Блок «социальное доказательство» сейчас проседает: сайт слабо подтверждает компетенцию кейсами, цифрами, клиентами или иными доказательствами результата.</w:t>
      </w:r>
    </w:p>
    <w:p>
      <w:pPr>
        <w:pStyle w:val="FirstParagraph"/>
      </w:pPr>
      <w:r>
        <w:rPr>
          <w:b/>
          <w:bCs/>
        </w:rPr>
        <w:t xml:space="preserve">На что влияет:</w:t>
      </w:r>
      <w:r>
        <w:t xml:space="preserve"> </w:t>
      </w:r>
      <w:r>
        <w:t xml:space="preserve">Коммерческие категории влияют на видимость спроса и распределение трафика по предложениям.</w:t>
      </w:r>
    </w:p>
    <w:p>
      <w:pPr>
        <w:pStyle w:val="BodyText"/>
      </w:pPr>
      <w:r>
        <w:rPr>
          <w:b/>
          <w:bCs/>
        </w:rPr>
        <w:t xml:space="preserve">Что делать:</w:t>
      </w:r>
      <w:r>
        <w:t xml:space="preserve"> </w:t>
      </w:r>
      <w:r>
        <w:t xml:space="preserve">Усилить структуру страницы, закрыть недостающие блоки и проверить, что ключевой сценарий обращения виден без дополнительных действий.</w:t>
      </w:r>
    </w:p>
    <w:bookmarkEnd w:id="17"/>
    <w:bookmarkStart w:id="18" w:name="карточка-продукта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Карточка продукта</w:t>
      </w:r>
    </w:p>
    <w:p>
      <w:pPr>
        <w:pStyle w:val="FirstParagraph"/>
      </w:pPr>
      <w:r>
        <w:rPr>
          <w:b/>
          <w:bCs/>
        </w:rPr>
        <w:t xml:space="preserve">Что анализировалось:</w:t>
      </w:r>
      <w:r>
        <w:t xml:space="preserve"> </w:t>
      </w:r>
      <w:r>
        <w:t xml:space="preserve">Анализировались страницы типа «карточка продукта», их покрытие ключевыми блоками, наличие доверительных и технических сигналов, а также готовность страницы объяснять предложение.</w:t>
      </w:r>
    </w:p>
    <w:p>
      <w:pPr>
        <w:pStyle w:val="BodyText"/>
      </w:pPr>
      <w:r>
        <w:rPr>
          <w:b/>
          <w:bCs/>
        </w:rPr>
        <w:t xml:space="preserve">Наблюдения:</w:t>
      </w:r>
    </w:p>
    <w:p>
      <w:pPr>
        <w:pStyle w:val="Compact"/>
        <w:numPr>
          <w:ilvl w:val="0"/>
          <w:numId w:val="1008"/>
        </w:numPr>
      </w:pPr>
      <w:r>
        <w:t xml:space="preserve">Блок «социальное доказательство» сейчас проседает: сайт слабо подтверждает компетенцию кейсами, цифрами, клиентами или иными доказательствами результата.</w:t>
      </w:r>
    </w:p>
    <w:p>
      <w:pPr>
        <w:pStyle w:val="FirstParagraph"/>
      </w:pPr>
      <w:r>
        <w:rPr>
          <w:b/>
          <w:bCs/>
        </w:rPr>
        <w:t xml:space="preserve">На что влияет:</w:t>
      </w:r>
      <w:r>
        <w:t xml:space="preserve"> </w:t>
      </w:r>
      <w:r>
        <w:t xml:space="preserve">Карточки предложения влияют на коммерческую ясность и конверсию из интереса в запрос.</w:t>
      </w:r>
    </w:p>
    <w:p>
      <w:pPr>
        <w:pStyle w:val="BodyText"/>
      </w:pPr>
      <w:r>
        <w:rPr>
          <w:b/>
          <w:bCs/>
        </w:rPr>
        <w:t xml:space="preserve">Что делать:</w:t>
      </w:r>
      <w:r>
        <w:t xml:space="preserve"> </w:t>
      </w:r>
      <w:r>
        <w:t xml:space="preserve">Усилить структуру страницы, закрыть недостающие блоки и проверить, что ключевой сценарий обращения виден без дополнительных действий.</w:t>
      </w:r>
    </w:p>
    <w:bookmarkEnd w:id="18"/>
    <w:bookmarkStart w:id="19" w:name="возвраты-и-гарантии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Возвраты и гарантии</w:t>
      </w:r>
    </w:p>
    <w:p>
      <w:pPr>
        <w:pStyle w:val="FirstParagraph"/>
      </w:pPr>
      <w:r>
        <w:rPr>
          <w:b/>
          <w:bCs/>
        </w:rPr>
        <w:t xml:space="preserve">Что анализировалось:</w:t>
      </w:r>
      <w:r>
        <w:t xml:space="preserve"> </w:t>
      </w:r>
      <w:r>
        <w:t xml:space="preserve">Анализировались страницы типа «возвраты и гарантии», их покрытие ключевыми блоками, наличие доверительных и технических сигналов, а также готовность страницы объяснять предложение.</w:t>
      </w:r>
    </w:p>
    <w:p>
      <w:pPr>
        <w:pStyle w:val="BodyText"/>
      </w:pPr>
      <w:r>
        <w:rPr>
          <w:b/>
          <w:bCs/>
        </w:rPr>
        <w:t xml:space="preserve">Наблюдения:</w:t>
      </w:r>
    </w:p>
    <w:p>
      <w:pPr>
        <w:pStyle w:val="Compact"/>
        <w:numPr>
          <w:ilvl w:val="0"/>
          <w:numId w:val="1009"/>
        </w:numPr>
      </w:pPr>
      <w:r>
        <w:t xml:space="preserve">На страницах этой группы не хватает части поддерживающих сигналов.</w:t>
      </w:r>
    </w:p>
    <w:p>
      <w:pPr>
        <w:pStyle w:val="FirstParagraph"/>
      </w:pPr>
      <w:r>
        <w:rPr>
          <w:b/>
          <w:bCs/>
        </w:rPr>
        <w:t xml:space="preserve">На что влияет:</w:t>
      </w:r>
      <w:r>
        <w:t xml:space="preserve"> </w:t>
      </w:r>
      <w:r>
        <w:t xml:space="preserve">Страницы гарантий и возвратов влияют на доверие и снижение барьеров к покупке или обращению.</w:t>
      </w:r>
    </w:p>
    <w:p>
      <w:pPr>
        <w:pStyle w:val="BodyText"/>
      </w:pPr>
      <w:r>
        <w:rPr>
          <w:b/>
          <w:bCs/>
        </w:rPr>
        <w:t xml:space="preserve">Что делать:</w:t>
      </w:r>
      <w:r>
        <w:t xml:space="preserve"> </w:t>
      </w:r>
      <w:r>
        <w:t xml:space="preserve">Усилить структуру страницы, закрыть недостающие блоки и проверить, что ключевой сценарий обращения виден без дополнительных действий.</w:t>
      </w:r>
    </w:p>
    <w:bookmarkEnd w:id="19"/>
    <w:bookmarkStart w:id="20" w:name="безопасный-протокол-и-hsts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Безопасный протокол и HSTS</w:t>
      </w:r>
    </w:p>
    <w:p>
      <w:pPr>
        <w:pStyle w:val="FirstParagraph"/>
      </w:pPr>
      <w:r>
        <w:rPr>
          <w:b/>
          <w:bCs/>
        </w:rPr>
        <w:t xml:space="preserve">Что анализировалось:</w:t>
      </w:r>
      <w:r>
        <w:t xml:space="preserve"> </w:t>
      </w:r>
      <w:r>
        <w:t xml:space="preserve">Проверялись безопасность протокола (HTTPS), наличие HSTS и использование только защищённых ресурсов на ключевых страницах.</w:t>
      </w:r>
    </w:p>
    <w:p>
      <w:pPr>
        <w:pStyle w:val="BodyText"/>
      </w:pPr>
      <w:r>
        <w:rPr>
          <w:b/>
          <w:bCs/>
        </w:rPr>
        <w:t xml:space="preserve">Наблюдения:</w:t>
      </w:r>
    </w:p>
    <w:p>
      <w:pPr>
        <w:pStyle w:val="Compact"/>
        <w:numPr>
          <w:ilvl w:val="0"/>
          <w:numId w:val="1010"/>
        </w:numPr>
      </w:pPr>
      <w:r>
        <w:t xml:space="preserve">Сайт не в полной мере закрепляет безопасный https-контур и политику Strict-Transport-Security на всех важных страницах.</w:t>
      </w:r>
    </w:p>
    <w:p>
      <w:pPr>
        <w:pStyle w:val="FirstParagraph"/>
      </w:pPr>
      <w:r>
        <w:rPr>
          <w:b/>
          <w:bCs/>
        </w:rPr>
        <w:t xml:space="preserve">На что влияет:</w:t>
      </w:r>
      <w:r>
        <w:t xml:space="preserve"> </w:t>
      </w:r>
      <w:r>
        <w:t xml:space="preserve">Недостаточно защищённый протокол снижает доверие поисковых и AI-систем и создаёт риски для восприятия бренда.</w:t>
      </w:r>
    </w:p>
    <w:p>
      <w:pPr>
        <w:pStyle w:val="BodyText"/>
      </w:pPr>
      <w:r>
        <w:rPr>
          <w:b/>
          <w:bCs/>
        </w:rPr>
        <w:t xml:space="preserve">Что делать:</w:t>
      </w:r>
      <w:r>
        <w:t xml:space="preserve"> </w:t>
      </w:r>
      <w:r>
        <w:t xml:space="preserve">Закрепить единый безопасный https-контур и политику HSTS для ключевых страниц, убедиться в отсутствии небезопасных http-ресурсов.</w:t>
      </w:r>
    </w:p>
    <w:bookmarkEnd w:id="20"/>
    <w:bookmarkEnd w:id="21"/>
    <w:bookmarkStart w:id="24" w:name="приоритеты-работ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Приоритеты работ</w:t>
      </w:r>
    </w:p>
    <w:bookmarkStart w:id="22" w:name="доверие-и-снятие-барьеров-к-обращению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Доверие и снятие барьеров к обращению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Ключевые страницы не добирают доверия и не переводят пользователя в быстрый контакт.</w:t>
      </w:r>
    </w:p>
    <w:p>
      <w:pPr>
        <w:pStyle w:val="BodyText"/>
      </w:pPr>
      <w:r>
        <w:rPr>
          <w:b/>
          <w:bCs/>
        </w:rPr>
        <w:t xml:space="preserve">Что нужно сделать:</w:t>
      </w:r>
    </w:p>
    <w:p>
      <w:pPr>
        <w:numPr>
          <w:ilvl w:val="0"/>
          <w:numId w:val="1011"/>
        </w:numPr>
      </w:pPr>
      <w:r>
        <w:t xml:space="preserve">Добавить кейсы, цифры, отзывы, подтверждения опыта.</w:t>
      </w:r>
    </w:p>
    <w:p>
      <w:pPr>
        <w:numPr>
          <w:ilvl w:val="0"/>
          <w:numId w:val="1011"/>
        </w:numPr>
      </w:pPr>
      <w:r>
        <w:t xml:space="preserve">Усилить контактный слой и быстрые каналы связи.</w:t>
      </w:r>
    </w:p>
    <w:p>
      <w:pPr>
        <w:numPr>
          <w:ilvl w:val="0"/>
          <w:numId w:val="1011"/>
        </w:numPr>
      </w:pPr>
      <w:r>
        <w:t xml:space="preserve">Вывести важные юридические и организационные сигналы доверия в явный блок.</w:t>
      </w:r>
    </w:p>
    <w:p>
      <w:pPr>
        <w:pStyle w:val="FirstParagraph"/>
      </w:pPr>
      <w:r>
        <w:rPr>
          <w:b/>
          <w:bCs/>
        </w:rPr>
        <w:t xml:space="preserve">Ожидаемый эффект:</w:t>
      </w:r>
      <w:r>
        <w:t xml:space="preserve"> </w:t>
      </w:r>
      <w:r>
        <w:t xml:space="preserve">Растет вероятность обращения с первой сессии и снижается число сомнений до диалога.</w:t>
      </w:r>
    </w:p>
    <w:bookmarkEnd w:id="22"/>
    <w:bookmarkStart w:id="23" w:name="X84c74678b44cc2dcf57ad76a9211c588b76fe0a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Упаковка услуги и сценарий движения клиента</w:t>
      </w:r>
    </w:p>
    <w:p>
      <w:pPr>
        <w:pStyle w:val="FirstParagraph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Сайт не до конца объясняет состав услуги, этапы, цену и логику движения клиента к заявке.</w:t>
      </w:r>
    </w:p>
    <w:p>
      <w:pPr>
        <w:pStyle w:val="BodyText"/>
      </w:pPr>
      <w:r>
        <w:rPr>
          <w:b/>
          <w:bCs/>
        </w:rPr>
        <w:t xml:space="preserve">Что нужно сделать:</w:t>
      </w:r>
    </w:p>
    <w:p>
      <w:pPr>
        <w:numPr>
          <w:ilvl w:val="0"/>
          <w:numId w:val="1012"/>
        </w:numPr>
      </w:pPr>
      <w:r>
        <w:t xml:space="preserve">Переупаковать ключевые сервисные страницы по структуре «что делаем -&gt; как работаем -&gt; что получает клиент».</w:t>
      </w:r>
    </w:p>
    <w:p>
      <w:pPr>
        <w:numPr>
          <w:ilvl w:val="0"/>
          <w:numId w:val="1012"/>
        </w:numPr>
      </w:pPr>
      <w:r>
        <w:t xml:space="preserve">Добавить блоки условий, диапазонов стоимости, этапов и часто задаваемых вопросов.</w:t>
      </w:r>
    </w:p>
    <w:p>
      <w:pPr>
        <w:numPr>
          <w:ilvl w:val="0"/>
          <w:numId w:val="1012"/>
        </w:numPr>
      </w:pPr>
      <w:r>
        <w:t xml:space="preserve">Выстроить понятный CTA-сценарий на главной и приоритетных страницах.</w:t>
      </w:r>
    </w:p>
    <w:p>
      <w:pPr>
        <w:pStyle w:val="FirstParagraph"/>
      </w:pPr>
      <w:r>
        <w:rPr>
          <w:b/>
          <w:bCs/>
        </w:rPr>
        <w:t xml:space="preserve">Ожидаемый эффект:</w:t>
      </w:r>
      <w:r>
        <w:t xml:space="preserve"> </w:t>
      </w:r>
      <w:r>
        <w:t xml:space="preserve">Сайт становится понятнее, а коммерческий спрос теряется меньше.</w:t>
      </w:r>
    </w:p>
    <w:bookmarkEnd w:id="23"/>
    <w:bookmarkEnd w:id="24"/>
    <w:bookmarkStart w:id="28" w:name="план-действий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План действий</w:t>
      </w:r>
    </w:p>
    <w:bookmarkStart w:id="25" w:name="X136f32dfc82daa3850170ff6f8df1d55092a957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Этап 1: Убрать главные блокеры доверия и технической ясности</w:t>
      </w:r>
    </w:p>
    <w:p>
      <w:pPr>
        <w:pStyle w:val="Compact"/>
        <w:numPr>
          <w:ilvl w:val="0"/>
          <w:numId w:val="1013"/>
        </w:numPr>
      </w:pPr>
      <w:r>
        <w:t xml:space="preserve">Выравниваем протокол, канонизацию и базовую техническую целостность сайта.</w:t>
      </w:r>
    </w:p>
    <w:p>
      <w:pPr>
        <w:pStyle w:val="Compact"/>
        <w:numPr>
          <w:ilvl w:val="0"/>
          <w:numId w:val="1013"/>
        </w:numPr>
      </w:pPr>
      <w:r>
        <w:t xml:space="preserve">Закрываем приоритетный разрыв вокруг блока «социальное доказательство».</w:t>
      </w:r>
    </w:p>
    <w:p>
      <w:pPr>
        <w:pStyle w:val="Compact"/>
        <w:numPr>
          <w:ilvl w:val="0"/>
          <w:numId w:val="1013"/>
        </w:numPr>
      </w:pPr>
      <w:r>
        <w:t xml:space="preserve">Фиксируем стандарт сильной главной и основных сервисных страниц.</w:t>
      </w:r>
    </w:p>
    <w:p>
      <w:pPr>
        <w:pStyle w:val="Compact"/>
        <w:numPr>
          <w:ilvl w:val="0"/>
          <w:numId w:val="1013"/>
        </w:numPr>
      </w:pPr>
      <w:r>
        <w:t xml:space="preserve">Практический результат этапа: Сайт перестает терять часть сигнала на базовом уровне и получает управляемый фундамент для дальнейших улучшений.</w:t>
      </w:r>
    </w:p>
    <w:bookmarkEnd w:id="25"/>
    <w:bookmarkStart w:id="26" w:name="Xebc15e4caff6916459293826b5c1a839f57b84c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Этап 2: Усилить сервисные и коммерческие страницы</w:t>
      </w:r>
    </w:p>
    <w:p>
      <w:pPr>
        <w:pStyle w:val="Compact"/>
        <w:numPr>
          <w:ilvl w:val="0"/>
          <w:numId w:val="1014"/>
        </w:numPr>
      </w:pPr>
      <w:r>
        <w:t xml:space="preserve">Раскрываем структуру услуг, этапы работы, подтверждения результата и условия взаимодействия.</w:t>
      </w:r>
    </w:p>
    <w:p>
      <w:pPr>
        <w:pStyle w:val="Compact"/>
        <w:numPr>
          <w:ilvl w:val="0"/>
          <w:numId w:val="1014"/>
        </w:numPr>
      </w:pPr>
      <w:r>
        <w:t xml:space="preserve">Масштабируем улучшения на ключевые сервисные шаблоны и страницы спроса.</w:t>
      </w:r>
    </w:p>
    <w:p>
      <w:pPr>
        <w:pStyle w:val="Compact"/>
        <w:numPr>
          <w:ilvl w:val="0"/>
          <w:numId w:val="1014"/>
        </w:numPr>
      </w:pPr>
      <w:r>
        <w:t xml:space="preserve">Практический результат этапа: Предложение бизнеса становится понятнее для клиента и лучше интерпретируется системами.</w:t>
      </w:r>
    </w:p>
    <w:bookmarkEnd w:id="26"/>
    <w:bookmarkStart w:id="27" w:name="X4e1684e4e9cc2721eb10146cd4ab21fcc66a1b7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Этап 3: Закрепить качество и перейти к регулярному улучшению</w:t>
      </w:r>
    </w:p>
    <w:p>
      <w:pPr>
        <w:pStyle w:val="Compact"/>
        <w:numPr>
          <w:ilvl w:val="0"/>
          <w:numId w:val="1015"/>
        </w:numPr>
      </w:pPr>
      <w:r>
        <w:t xml:space="preserve">Повторно проверяем улучшенные страницы и устраняем остаточные пробелы.</w:t>
      </w:r>
    </w:p>
    <w:p>
      <w:pPr>
        <w:pStyle w:val="Compact"/>
        <w:numPr>
          <w:ilvl w:val="0"/>
          <w:numId w:val="1015"/>
        </w:numPr>
      </w:pPr>
      <w:r>
        <w:t xml:space="preserve">Вводим цикл контроля качества для новых и обновляемых страниц.</w:t>
      </w:r>
    </w:p>
    <w:p>
      <w:pPr>
        <w:pStyle w:val="Compact"/>
        <w:numPr>
          <w:ilvl w:val="0"/>
          <w:numId w:val="1015"/>
        </w:numPr>
      </w:pPr>
      <w:r>
        <w:t xml:space="preserve">Практический результат этапа: Сайт получает повторяемый стандарт качества, а рост становится менее случайным и более управляемым.</w:t>
      </w:r>
    </w:p>
    <w:bookmarkEnd w:id="27"/>
    <w:bookmarkEnd w:id="28"/>
    <w:bookmarkStart w:id="29" w:name="как-будет-измеряться-эффект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Как будет измеряться эффект</w:t>
      </w:r>
    </w:p>
    <w:p>
      <w:pPr>
        <w:pStyle w:val="Compact"/>
        <w:numPr>
          <w:ilvl w:val="0"/>
          <w:numId w:val="1016"/>
        </w:numPr>
      </w:pPr>
      <w:r>
        <w:t xml:space="preserve">Изменение индекса AI Readiness относительно текущей точки 74.0 / 100.</w:t>
      </w:r>
    </w:p>
    <w:p>
      <w:pPr>
        <w:pStyle w:val="Compact"/>
        <w:numPr>
          <w:ilvl w:val="0"/>
          <w:numId w:val="1016"/>
        </w:numPr>
      </w:pPr>
      <w:r>
        <w:t xml:space="preserve">Изменение индекса Generative Visibility относительно текущей точки 69.8 / 100.</w:t>
      </w:r>
    </w:p>
    <w:p>
      <w:pPr>
        <w:pStyle w:val="Compact"/>
        <w:numPr>
          <w:ilvl w:val="0"/>
          <w:numId w:val="1016"/>
        </w:numPr>
      </w:pPr>
      <w:r>
        <w:t xml:space="preserve">Изменение индекса Answer Fitness относительно текущей точки 78.2 / 100.</w:t>
      </w:r>
    </w:p>
    <w:p>
      <w:pPr>
        <w:pStyle w:val="Compact"/>
        <w:numPr>
          <w:ilvl w:val="0"/>
          <w:numId w:val="1016"/>
        </w:numPr>
      </w:pPr>
      <w:r>
        <w:t xml:space="preserve">Сокращение числа приоритетных (P0) пробелов в ключевых блоках с текущего уровня 7.</w:t>
      </w:r>
    </w:p>
    <w:bookmarkEnd w:id="29"/>
    <w:bookmarkStart w:id="30" w:name="глоссарий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Глоссарий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SEO</w:t>
      </w:r>
      <w:r>
        <w:t xml:space="preserve"> </w:t>
      </w:r>
      <w:r>
        <w:t xml:space="preserve">— классическая поисковая оптимизация: техническое состояние сайта, индексация, структура и релевантность страниц и контента запросам пользователя.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GEO</w:t>
      </w:r>
      <w:r>
        <w:t xml:space="preserve"> </w:t>
      </w:r>
      <w:r>
        <w:t xml:space="preserve">— Generative Engine Optimization: подготовка сайта к видимости и цитируемости в генеративных ответах и AI‑рекомендациях.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AEO</w:t>
      </w:r>
      <w:r>
        <w:t xml:space="preserve"> </w:t>
      </w:r>
      <w:r>
        <w:t xml:space="preserve">— Answer Engine Optimization: подход к контенту, при котором страницы строятся так, чтобы быстро отвечать на конкретный вопрос пользователя.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AIO</w:t>
      </w:r>
      <w:r>
        <w:t xml:space="preserve"> </w:t>
      </w:r>
      <w:r>
        <w:t xml:space="preserve">— AI Interpretation Optimization: подготовка структуры, смыслов и сигналов сайта так, чтобы алгоритмы и AI‑модели правильно понимали, что именно предлагает компания и чем подтверждаются её утверждения.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LEO</w:t>
      </w:r>
      <w:r>
        <w:t xml:space="preserve"> </w:t>
      </w:r>
      <w:r>
        <w:t xml:space="preserve">— Lead Enablement Optimization: подготовка сайта и данных к сценариям, где в генерации лидов участвуют AI‑интерфейсы, рекомендательные системы и цифровые ассистенты.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Сервисная страница</w:t>
      </w:r>
      <w:r>
        <w:t xml:space="preserve"> </w:t>
      </w:r>
      <w:r>
        <w:t xml:space="preserve">— страница, которая подробно описывает одну из ключевых услуг компании.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Информационная страница</w:t>
      </w:r>
      <w:r>
        <w:t xml:space="preserve"> </w:t>
      </w:r>
      <w:r>
        <w:t xml:space="preserve">— статья или раздел, объясняющий тему, контекст или ответы на вопросы, а не конкретную услугу.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Социальное доказательство</w:t>
      </w:r>
      <w:r>
        <w:t xml:space="preserve"> </w:t>
      </w:r>
      <w:r>
        <w:t xml:space="preserve">— кейсы, отзывы, цифры, логотипы клиентов и другие подтверждения опыта.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Слабый уровень</w:t>
      </w:r>
      <w:r>
        <w:t xml:space="preserve"> </w:t>
      </w:r>
      <w:r>
        <w:t xml:space="preserve">— состояние, когда фундамент есть, но сайт сильно теряет в доверии, структуре и сценариях обращения.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Зона улучшений</w:t>
      </w:r>
      <w:r>
        <w:t xml:space="preserve"> </w:t>
      </w:r>
      <w:r>
        <w:t xml:space="preserve">— состояние, когда базовый уровень есть, но нужно доработать структуру, доверие и содержание.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Рабочий уровень</w:t>
      </w:r>
      <w:r>
        <w:t xml:space="preserve"> </w:t>
      </w:r>
      <w:r>
        <w:t xml:space="preserve">— состояние, когда сайт в целом выполняет свою задачу, но остаётся потенциал точечных улучшений.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Сильный уровень</w:t>
      </w:r>
      <w:r>
        <w:t xml:space="preserve"> </w:t>
      </w:r>
      <w:r>
        <w:t xml:space="preserve">— состояние, когда структура, доверие и сигналы качества доведены до устойчивого стандарта.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2026-04-01T14:50:30Z</dcterms:created>
  <dcterms:modified xsi:type="dcterms:W3CDTF">2026-04-01T14:50:30Z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