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2B8F" w14:textId="77777777" w:rsidR="00B37F15" w:rsidRDefault="00000000">
      <w:pPr>
        <w:pStyle w:val="Heading1"/>
      </w:pPr>
      <w:bookmarkStart w:id="0" w:name="X547ffb1331381b2a6f33bb0d1295522a535848e"/>
      <w:r>
        <w:t xml:space="preserve">Biparental vertical transmission of </w:t>
      </w:r>
      <w:r>
        <w:rPr>
          <w:i/>
          <w:iCs/>
        </w:rPr>
        <w:t>Aedes</w:t>
      </w:r>
      <w:r>
        <w:t xml:space="preserve"> anphevirus, Guadeloupe mosquito virus, and verdadero virus in colonized </w:t>
      </w:r>
      <w:r>
        <w:rPr>
          <w:i/>
          <w:iCs/>
        </w:rPr>
        <w:t>Aedes aegypti</w:t>
      </w:r>
    </w:p>
    <w:p w14:paraId="20C21146" w14:textId="77777777" w:rsidR="00B37F15" w:rsidRDefault="00B37F15">
      <w:pPr>
        <w:pStyle w:val="FirstParagraph"/>
      </w:pPr>
    </w:p>
    <w:p w14:paraId="501D7BBA" w14:textId="25DFABD6" w:rsidR="00B37F15" w:rsidRDefault="00000000">
      <w:pPr>
        <w:pStyle w:val="BodyText"/>
      </w:pPr>
      <w:r>
        <w:t>Tillie J. Dunham</w:t>
      </w:r>
      <w:r>
        <w:rPr>
          <w:vertAlign w:val="superscript"/>
        </w:rPr>
        <w:t>1</w:t>
      </w:r>
      <w:r>
        <w:t xml:space="preserve">, Karla </w:t>
      </w:r>
      <w:r w:rsidR="000E5FB7" w:rsidRPr="000E5FB7">
        <w:t>Saavedra</w:t>
      </w:r>
      <w:r w:rsidR="000E5FB7" w:rsidRPr="000E5FB7">
        <w:rPr>
          <w:rFonts w:ascii="Cambria Math" w:hAnsi="Cambria Math" w:cs="Cambria Math"/>
        </w:rPr>
        <w:t>‐</w:t>
      </w:r>
      <w:r w:rsidR="000E5FB7" w:rsidRPr="000E5FB7">
        <w:t>Rodriguez</w:t>
      </w:r>
      <w:r>
        <w:rPr>
          <w:vertAlign w:val="superscript"/>
        </w:rPr>
        <w:t>1</w:t>
      </w:r>
      <w:r>
        <w:t xml:space="preserve">, </w:t>
      </w:r>
      <w:r w:rsidR="00CA3A1C">
        <w:t>Brian D. Foy</w:t>
      </w:r>
      <w:r w:rsidR="009972AE">
        <w:rPr>
          <w:vertAlign w:val="superscript"/>
        </w:rPr>
        <w:t>1</w:t>
      </w:r>
      <w:r w:rsidR="00CA3A1C">
        <w:t xml:space="preserve">, </w:t>
      </w:r>
      <w:r>
        <w:t>Christie E. Mayo</w:t>
      </w:r>
      <w:r>
        <w:rPr>
          <w:vertAlign w:val="superscript"/>
        </w:rPr>
        <w:t>1</w:t>
      </w:r>
      <w:r>
        <w:t>, and Mark D. Stenglein</w:t>
      </w:r>
      <w:r>
        <w:rPr>
          <w:vertAlign w:val="superscript"/>
        </w:rPr>
        <w:t>1</w:t>
      </w:r>
      <w:r>
        <w:t>*</w:t>
      </w:r>
    </w:p>
    <w:p w14:paraId="74C83083" w14:textId="77777777" w:rsidR="00B37F15" w:rsidRDefault="00B37F15">
      <w:pPr>
        <w:pStyle w:val="BodyText"/>
      </w:pPr>
    </w:p>
    <w:p w14:paraId="3EFA01D5" w14:textId="77777777" w:rsidR="00B37F15" w:rsidRDefault="00000000">
      <w:pPr>
        <w:pStyle w:val="BodyText"/>
      </w:pPr>
      <w:r>
        <w:t>*: Correspondence: Mark.Stenglein@colostate.edu</w:t>
      </w:r>
    </w:p>
    <w:p w14:paraId="182525F8" w14:textId="77777777" w:rsidR="00B37F15" w:rsidRDefault="00B37F15">
      <w:pPr>
        <w:pStyle w:val="BodyText"/>
      </w:pPr>
    </w:p>
    <w:p w14:paraId="642E498C" w14:textId="77777777" w:rsidR="00B37F15" w:rsidRDefault="00000000">
      <w:pPr>
        <w:pStyle w:val="Compact"/>
        <w:numPr>
          <w:ilvl w:val="0"/>
          <w:numId w:val="3"/>
        </w:numPr>
      </w:pPr>
      <w:r>
        <w:t>Center for Vector-Borne Infectious Diseases, Department of Microbiology, Immunology, and Pathology, College of Veterinary Medicine and Biomedical Sciences, Colorado State University, Fort Collins, CO, 80523, USA</w:t>
      </w:r>
    </w:p>
    <w:p w14:paraId="5EC87160" w14:textId="77777777" w:rsidR="00B37F15" w:rsidRDefault="00000000">
      <w:r>
        <w:br w:type="page"/>
      </w:r>
    </w:p>
    <w:p w14:paraId="4AB250D5" w14:textId="77777777" w:rsidR="00B37F15" w:rsidRDefault="00000000">
      <w:pPr>
        <w:pStyle w:val="Heading2"/>
      </w:pPr>
      <w:bookmarkStart w:id="1" w:name="abstract"/>
      <w:r>
        <w:lastRenderedPageBreak/>
        <w:t>Abstract</w:t>
      </w:r>
    </w:p>
    <w:p w14:paraId="35D3D6DE" w14:textId="77777777" w:rsidR="00B37F15" w:rsidRDefault="00000000">
      <w:pPr>
        <w:pStyle w:val="FirstParagraph"/>
      </w:pPr>
      <w:r>
        <w:rPr>
          <w:i/>
          <w:iCs/>
        </w:rPr>
        <w:t>Aedes aegypti</w:t>
      </w:r>
      <w:r>
        <w:t xml:space="preserve"> are a major vector of arboviruses, which infect these mosquitoes and can be transmitted to, and cause disease in, vertebrates. </w:t>
      </w:r>
      <w:r>
        <w:rPr>
          <w:i/>
          <w:iCs/>
        </w:rPr>
        <w:t>Ae. aegypti</w:t>
      </w:r>
      <w:r>
        <w:t xml:space="preserve"> can also be infected by insect-specific viruses, which do not infect vertebrates, but may impact mosquito biology and vector competence. In this study we characterized the viromes of </w:t>
      </w:r>
      <w:r>
        <w:rPr>
          <w:i/>
          <w:iCs/>
        </w:rPr>
        <w:t>Ae. aegypti</w:t>
      </w:r>
      <w:r>
        <w:t xml:space="preserve"> populations that had been maintained in laboratory colonies for 4 to 18 years. Mosquitoes were originally from Tapachula, Poza Rica and Merida, Mexico and New Orleans, USA. We used metagenomics to characterize the viruses present in the colonies, then quantified the vertical transmission efficiencies of the viruses by performing controlled crosses between populations. The viruses infecting these colonies included </w:t>
      </w:r>
      <w:r>
        <w:rPr>
          <w:i/>
          <w:iCs/>
        </w:rPr>
        <w:t>Aedes</w:t>
      </w:r>
      <w:r>
        <w:t xml:space="preserve"> anphevirus, Guadeloupe mosquito virus, and verdadero virus. These viruses were at high prevalence in infected populations, with over 75% of individual adult mosquitoes infected. All three viruses exhibited biparental vertical transmission: both infected mothers and infected fathers transmitted infection to their offspring, but in all cases maternal transmission was more efficient than paternal. We also identified evidence of possible horizontal transmission between adult mosquitoes that had cohabitated during crosses. Efficient transgenerational transmission likely contributes to the ability of these viruses to persist in laboratory populations and nature. Because of their efficient vertical transmission and minimal apparent fitness costs, these viruses could be good candidates for gene delivery to mosquito populations, including for vector control.</w:t>
      </w:r>
    </w:p>
    <w:p w14:paraId="1AE6D42C" w14:textId="77777777" w:rsidR="00B37F15" w:rsidRDefault="00000000">
      <w:r>
        <w:br w:type="page"/>
      </w:r>
    </w:p>
    <w:p w14:paraId="24666770" w14:textId="77777777" w:rsidR="00B37F15" w:rsidRDefault="00000000">
      <w:pPr>
        <w:pStyle w:val="Heading2"/>
      </w:pPr>
      <w:bookmarkStart w:id="2" w:name="introduction"/>
      <w:bookmarkEnd w:id="1"/>
      <w:r>
        <w:lastRenderedPageBreak/>
        <w:t>Introduction</w:t>
      </w:r>
    </w:p>
    <w:p w14:paraId="079B0A29" w14:textId="77777777" w:rsidR="00B37F15" w:rsidRDefault="00000000">
      <w:pPr>
        <w:pStyle w:val="FirstParagraph"/>
      </w:pPr>
      <w:r>
        <w:rPr>
          <w:i/>
          <w:iCs/>
        </w:rPr>
        <w:t>Aedes aegypti</w:t>
      </w:r>
      <w:r>
        <w:t xml:space="preserve"> mosquitoes transmit important arbovirus pathogens including dengue, Zika, and chikungunya viruses (1). Although the global burden of arboviral disease is high, individual mosquitoes are only rarely infected by arboviruses (2). In contrast, mosquitoes are commonly infected by so-called insect-specific viruses (ISVs) (3–8). ISVs have no apparent ability to infect vertebrates and few well characterized fitness impacts on their mosquito hosts. A growing number of studies have characterized the virome of wild mosquitoes (9–19). Mosquito-infecting ISVs are diverse in terms of their prevalence and genetics, with representatives from all major groups of viruses.</w:t>
      </w:r>
    </w:p>
    <w:p w14:paraId="61E16B88" w14:textId="77777777" w:rsidR="00B37F15" w:rsidRDefault="00000000">
      <w:pPr>
        <w:pStyle w:val="BodyText"/>
      </w:pPr>
      <w:r>
        <w:t>ISVs are relevant to vector-borne diseases because they could naturally alter vector competence or could be used to deliver genes to mosquito populations (4, 5, 20–22). There is experimental and observational evidence that ISVs can interfere with arbovirus replication in cultured cells or reduce vector competence (23–31). Nevertheless, arboviruses remain a substantial public health problem despite the ubiquity of ISVs, and the impact of ISVs on vector competence is likely a function of complex environmental and genetic variables. It is possible that ISVs could be genetically engineered to block arbovirus replication beyond their natural ability to do so (20, 21). Alternatively, ISVs, especially common ones, could provide a means to study mosquito population structure and ecology (32).</w:t>
      </w:r>
    </w:p>
    <w:p w14:paraId="1FE739CB" w14:textId="77777777" w:rsidR="00B37F15" w:rsidRDefault="00000000">
      <w:pPr>
        <w:pStyle w:val="BodyText"/>
      </w:pPr>
      <w:r>
        <w:t>The virome of lab-colonized mosquitoes is less diverse than that of their wild counterparts (15, 33–35). Certain ISVs tend to predominate in mosquito colonies (34, 35). These viruses presumably have properties that enable them to persist in laboratory populations, including efficient transmission and minimal fitness costs.</w:t>
      </w:r>
    </w:p>
    <w:p w14:paraId="04A0DE1E" w14:textId="77777777" w:rsidR="00B37F15" w:rsidRDefault="00000000">
      <w:pPr>
        <w:pStyle w:val="BodyText"/>
      </w:pPr>
      <w:r>
        <w:t xml:space="preserve">Here, we used metagenomic sequencing to characterize the virome of four colonies of </w:t>
      </w:r>
      <w:r>
        <w:rPr>
          <w:i/>
          <w:iCs/>
        </w:rPr>
        <w:t>Ae. aegypti</w:t>
      </w:r>
      <w:r>
        <w:t xml:space="preserve"> maintained in our insectary. We performed experimental crosses to investigate transmission from infected mothers or fathers to offspring and evaluated evidence of possible horizontal transmission. Inclusion of distinct outbred populations in experiments enabled us to assess whether transmission efficiency might vary as a function of mosquito genotype.</w:t>
      </w:r>
    </w:p>
    <w:p w14:paraId="2A75CF4F" w14:textId="77777777" w:rsidR="00B37F15" w:rsidRDefault="00000000">
      <w:r>
        <w:br w:type="page"/>
      </w:r>
    </w:p>
    <w:p w14:paraId="049EDC33" w14:textId="77777777" w:rsidR="00B37F15" w:rsidRDefault="00000000">
      <w:pPr>
        <w:pStyle w:val="Heading2"/>
      </w:pPr>
      <w:bookmarkStart w:id="3" w:name="materials-and-methods"/>
      <w:bookmarkEnd w:id="2"/>
      <w:r>
        <w:lastRenderedPageBreak/>
        <w:t>Materials and Methods</w:t>
      </w:r>
    </w:p>
    <w:p w14:paraId="5D72437A" w14:textId="77777777" w:rsidR="00B37F15" w:rsidRDefault="00000000">
      <w:pPr>
        <w:pStyle w:val="FirstParagraph"/>
      </w:pPr>
      <w:r>
        <w:rPr>
          <w:b/>
          <w:bCs/>
        </w:rPr>
        <w:t>Mosquito colonies:</w:t>
      </w:r>
      <w:r>
        <w:t xml:space="preserve"> All colonies were maintained in the insectary of the Center for Vector-Borne Infectious Diseases at Colorado State University in Fort Collins, Colorado, USA. Poza Rica </w:t>
      </w:r>
      <w:r>
        <w:rPr>
          <w:i/>
          <w:iCs/>
        </w:rPr>
        <w:t>Ae. aegypti</w:t>
      </w:r>
      <w:r>
        <w:t xml:space="preserve"> were originally collected from Poza Rica, Veracruz, Mexico in 2012 (36) (</w:t>
      </w:r>
      <w:hyperlink w:anchor="suppfig-map">
        <w:r w:rsidR="00B37F15">
          <w:rPr>
            <w:rStyle w:val="Hyperlink"/>
            <w:b/>
            <w:bCs/>
          </w:rPr>
          <w:t>Supplemental Figure 1</w:t>
        </w:r>
      </w:hyperlink>
      <w:r>
        <w:t xml:space="preserve">). Tapachula </w:t>
      </w:r>
      <w:r>
        <w:rPr>
          <w:i/>
          <w:iCs/>
        </w:rPr>
        <w:t>Ae. aegypti</w:t>
      </w:r>
      <w:r>
        <w:t xml:space="preserve"> were originally collected from Tapachula, Chiapas, Mexico in 2018 (37). New Orleans </w:t>
      </w:r>
      <w:r>
        <w:rPr>
          <w:i/>
          <w:iCs/>
        </w:rPr>
        <w:t>Ae. aegypti</w:t>
      </w:r>
      <w:r>
        <w:t xml:space="preserve"> were originally collected in New Orleans, Louisiana, USA in 2005 (38). Vergel </w:t>
      </w:r>
      <w:r>
        <w:rPr>
          <w:i/>
          <w:iCs/>
        </w:rPr>
        <w:t>Ae. aegypti</w:t>
      </w:r>
      <w:r>
        <w:t xml:space="preserve"> were originally collected in Mérida, Yucatán, Mexico in 2011 (39). Experiments were performed in June 2022.</w:t>
      </w:r>
    </w:p>
    <w:p w14:paraId="03938CF2" w14:textId="77777777" w:rsidR="00B37F15" w:rsidRDefault="00000000">
      <w:pPr>
        <w:pStyle w:val="BodyText"/>
      </w:pPr>
      <w:r>
        <w:rPr>
          <w:b/>
          <w:bCs/>
        </w:rPr>
        <w:t>Mosquito rearing:</w:t>
      </w:r>
      <w:r>
        <w:t xml:space="preserve"> At all life stages, mosquitoes were housed at 27˚C and 75-80% humidity. Eggs were hatched in 5x12 inch plastic bins with 800 mL of autoclaved room temperature deionized water (DI H2O). Growth containers were covered with organdy fabric secured by rubber bands. Egg papers were removed 24 hours after hatching and larvae were moved into 16x32 inch plastic containers with 2 inches of tap water. Aquatic stages were provided with 1/4 teaspoon of ground TetraMin fish food (Tetra). Larval crowding was checked daily, splitting the bin as necessary until pupation began, ~7 days after hatching. Pupae were picked with a sterile Pasteur pipette or mesh scoop and placed into a small cup with water to be sorted by sex. Female and male pupae were housed separately in 64 oz paper cartons until they reached adulthood. Adults were provided with raisins daily as a source of sugar.</w:t>
      </w:r>
    </w:p>
    <w:p w14:paraId="4E92C96C" w14:textId="77777777" w:rsidR="00B37F15" w:rsidRDefault="00000000">
      <w:pPr>
        <w:pStyle w:val="BodyText"/>
      </w:pPr>
      <w:r>
        <w:rPr>
          <w:b/>
          <w:bCs/>
        </w:rPr>
        <w:t>Experimental crosses:</w:t>
      </w:r>
      <w:r>
        <w:t xml:space="preserve"> Crosses were made by combining 80-100 virgin females with 15-30 virgin males. Adults derived from pupae that had been separated by sex. Mosquitoes were anesthetized at 4 °C for 5 minutes, counted and then placed into a new 64 oz paper carton with an organdy screen on top. Adults were provided with sterile water and raisins until blood feeding. Crosses were performed in duplicate and involved combinations of male and female adults from the different colonies.</w:t>
      </w:r>
    </w:p>
    <w:p w14:paraId="70462633" w14:textId="77777777" w:rsidR="00B37F15" w:rsidRDefault="00000000">
      <w:pPr>
        <w:pStyle w:val="BodyText"/>
      </w:pPr>
      <w:r>
        <w:rPr>
          <w:b/>
          <w:bCs/>
        </w:rPr>
        <w:t>Artificial blood feeding:</w:t>
      </w:r>
      <w:r>
        <w:t xml:space="preserve"> Prior to blood feeding, mosquitoes were deprived of raisins for 24 hours and water for 3-6 hours. 4 day old female mosquitoes were provided 2 mL of warm defibrinated calf blood (Colorado Serum Company) via an artificial membrane feeding system. The artificial membrane feeding system (Lillie Glassblowers) has a glass blood feeder covered with hog’s gut and was kept at 37°C using a circulating water bath. Females were allowed to feed for 1 hour. After feeding, females were transferred to cartons for egg collection.</w:t>
      </w:r>
    </w:p>
    <w:p w14:paraId="4E3456EE" w14:textId="77777777" w:rsidR="00B37F15" w:rsidRDefault="00000000">
      <w:pPr>
        <w:pStyle w:val="BodyText"/>
      </w:pPr>
      <w:r>
        <w:rPr>
          <w:b/>
          <w:bCs/>
        </w:rPr>
        <w:lastRenderedPageBreak/>
        <w:t>Egg collection:</w:t>
      </w:r>
      <w:r>
        <w:t xml:space="preserve"> Egg collection containers were made with a small water cup lined with a thin strip of paper towel (egg paper) sitting in sterile DI H2O. Egg collection containers were taped to the bottom of cartons containing blood fed adults. 5 days after feeding, egg papers were allowed to dry completely at 27˚C and 75-80% humidity.</w:t>
      </w:r>
    </w:p>
    <w:p w14:paraId="48F7D196" w14:textId="77777777" w:rsidR="00B37F15" w:rsidRDefault="00000000">
      <w:pPr>
        <w:pStyle w:val="BodyText"/>
      </w:pPr>
      <w:r>
        <w:rPr>
          <w:b/>
          <w:bCs/>
        </w:rPr>
        <w:t>Total RNA Extraction:</w:t>
      </w:r>
      <w:r>
        <w:t xml:space="preserve"> Individual adult mosquitoes were placed in wells of a 96-well deep-well plate (Costar, 3958) with 1 ball bearing (McMaster-Carr 1598K22) and 100 µL of lysis buffer containing 5M guanidine thiocyanate, 0.1M Tris(hydroxymethyl)aminomethane (Tris), pH7.5, 0.01M ethylenediaminetetraacetic acid (EDTA), and 20 mM dithiothreitol (DTT). Flies were homogenized in a Qiagen TissueLyzer instrument at 30 Hz for 3 minutes. After homogenization, samples were transferred to a 96-well deep well KingFisher Plate and mixed with 90 µL of washed Sera-Mag Speedbead magnetic beads (Cytiva, 65152105050250), 60 µL of 100% isopropanol, and 10 µL of lysis binding enhancer containing 200 µg/mL of proteinase K (P8107S, New England Biolabs), 20% glycerol, and 0.5% sodium dodecyl sulfate (SDS). RNA was purified using a KingFisher instrument with two wash steps. The first wash buffer contained 10 mM Tris, pH 7.5, 900 mM guanidine thiocyanate, and 20% ethanol. The second wash buffer consisted of 10 mM Tris, pH8, 1 mM EDTA, and 80% ethanol. RNA was eluted into 60 µL of water. Purified RNA was stored at -80˚C until further analysis.</w:t>
      </w:r>
    </w:p>
    <w:p w14:paraId="66303B43" w14:textId="77777777" w:rsidR="00B37F15" w:rsidRDefault="00000000">
      <w:pPr>
        <w:pStyle w:val="BodyText"/>
      </w:pPr>
      <w:r>
        <w:rPr>
          <w:b/>
          <w:bCs/>
        </w:rPr>
        <w:t>Quantification of viral RNA levels:</w:t>
      </w:r>
      <w:r>
        <w:t xml:space="preserve"> cDNA was synthesized by adding 5.5 µL of RNA, 1 µL of a 250 µM random 15mer oligonucleotide, 1 µL of 10 mM each deoxynucleotide triphosphates (dNTPs; NEB) and 5.5 µL of water. Reactions were incubated at 65˚C for 5 minutes then on ice for 1 minute. A mix containing 4 µL 5x first strand buffer (Invitrogen), 1 µL 0.1 M DTT, and 1 µL Superscript III reverse transcriptase (Invitrogen) was then added to each reaction. Reactions were incubated at 50˚C for 60 minutes then 80˚C for 10 minutes. Resulting cDNA was diluted with water to 100 µL total volume.</w:t>
      </w:r>
    </w:p>
    <w:p w14:paraId="635E5606" w14:textId="77777777" w:rsidR="00B37F15" w:rsidRDefault="00000000">
      <w:pPr>
        <w:pStyle w:val="BodyText"/>
      </w:pPr>
      <w:r>
        <w:t xml:space="preserve">We used 2.5 µL of diluted cDNA as input to qPCR reactions containing 1x Luna qPCR Master Mix (NEB), 0.5 µM forward primer, 0.5 µM reverse primer (primer sequences in </w:t>
      </w:r>
      <w:hyperlink w:anchor="supptab-primers">
        <w:r w:rsidR="00B37F15">
          <w:rPr>
            <w:rStyle w:val="Hyperlink"/>
          </w:rPr>
          <w:t>Supplemental Table 1</w:t>
        </w:r>
      </w:hyperlink>
      <w:r>
        <w:t xml:space="preserve">), and water to a final volume of 10 µL. We performed qPCR on a QuantStudio3 instrument (ThermoFisher) using the following thermocycling conditions: 95°C for 3 minutes, 40 cycles of 95°C for 10 seconds, 60°C for 45 seconds, followed by a melting curve analysis. 12 females and 10-12 male mosquitoes were tested from each experimental group. 2 males from certain groups were replaced with a negative control (water) or a positive control (known infected mosquitoes from the Poza Rica colony). Legitimate target amplification was confirmed by inspection of melting curve peaks. Primers targeting the host actin-5C mRNA were used as </w:t>
      </w:r>
      <w:r>
        <w:lastRenderedPageBreak/>
        <w:t xml:space="preserve">an internal positive control </w:t>
      </w:r>
      <w:hyperlink w:anchor="supptab-primers">
        <w:r w:rsidR="00B37F15">
          <w:rPr>
            <w:rStyle w:val="Hyperlink"/>
          </w:rPr>
          <w:t>Supplemental Table 1</w:t>
        </w:r>
      </w:hyperlink>
      <w:r>
        <w:t xml:space="preserve"> (40). Levels of viral RNA were normalized to levels of actin-5C mRNA. Testing involved a total of 4472 qPCR reactions.</w:t>
      </w:r>
    </w:p>
    <w:p w14:paraId="35171878" w14:textId="77777777" w:rsidR="00B37F15" w:rsidRDefault="00000000">
      <w:pPr>
        <w:pStyle w:val="BodyText"/>
      </w:pPr>
      <w:r>
        <w:rPr>
          <w:b/>
          <w:bCs/>
        </w:rPr>
        <w:t>Modeling of transmission efficiency:</w:t>
      </w:r>
      <w:r>
        <w:t xml:space="preserve"> We modeled transmission from parents to offspring using logistic regression and the lme4 R package (41). Models for vertical transmission took the form: </w:t>
      </w:r>
      <w:r>
        <w:rPr>
          <w:rStyle w:val="VerbatimChar"/>
        </w:rPr>
        <w:t>infected ~ offspring_sex + non_infected_parent_colony (New Orleans vs Vergel) + infected_parent_sex (mother vs. father)</w:t>
      </w:r>
      <w:r>
        <w:t xml:space="preserve">. Models for horizontal transmission took the form: </w:t>
      </w:r>
      <w:r>
        <w:rPr>
          <w:rStyle w:val="VerbatimChar"/>
        </w:rPr>
        <w:t>infected ~ exposed_parent_sex + exposed_parent_colony (New Orleans vs. Vergel)</w:t>
      </w:r>
      <w:r>
        <w:t xml:space="preserve">. Models for Guadeloupe mosquito virus tranmission also included a </w:t>
      </w:r>
      <w:r>
        <w:rPr>
          <w:rStyle w:val="VerbatimChar"/>
        </w:rPr>
        <w:t>infected_parent_colony (Poza Rica vs Tapachula)</w:t>
      </w:r>
      <w:r>
        <w:t xml:space="preserve"> term. Infected was a binary variable indicating whether individual mosquitoes were qRT-PCR positive. Fixed effects included the sex of tested offspring or cohabitating adult parent, the infected and non-infected parental colonies, and, for vertical transmission, the infected parent sex: infected mothers (maternal transmission), of infected fathers (paternal transmission). Models that included replicate as a random effect were not significantly better fitting as determined by ANOVA, so models shown include fixed effects only. An exception was horizontal transmission of Guadeloupe mosquito virus: a model that included replicate as a random effect fit significantly better. Models that included interaction terms were not significantly better fitting so models do not include interaction terms. Code for modeling is provided in the linked github repository.</w:t>
      </w:r>
    </w:p>
    <w:p w14:paraId="521289D6" w14:textId="77777777" w:rsidR="00B37F15" w:rsidRDefault="00000000">
      <w:pPr>
        <w:pStyle w:val="BodyText"/>
      </w:pPr>
      <w:r>
        <w:rPr>
          <w:b/>
          <w:bCs/>
        </w:rPr>
        <w:t>Metagenomic sequencing:</w:t>
      </w:r>
      <w:r>
        <w:t xml:space="preserve"> Total RNA from 12 male and 12 female adults from each colony were pooled and used as input for library preparation. Libraries were constructed using the Kapa Biosystems RNA Hyper Prep kit following the manufacturer’s protocol (Roche). Library size distribution was assessed using an Agilent tapestation instrument. Libraries were sequenced on a NovaSeq X Plus instrument using paired-end 2x150 sequencing (Azenta Life Sciences). We included a negative control library prepared from water and a positive control library prepared from HeLa cell total RNA.</w:t>
      </w:r>
    </w:p>
    <w:p w14:paraId="2C3EB335" w14:textId="77777777" w:rsidR="00B37F15" w:rsidRDefault="00000000">
      <w:pPr>
        <w:pStyle w:val="BodyText"/>
      </w:pPr>
      <w:r>
        <w:t xml:space="preserve">Virus sequences were recovered from metagenomic datasets as previously described (42). Briefly, low quality and adapter-derived bases were trimmed from reads using Cutadapt v3.5 (43). Host-derived reads were removed by mapping trimmed reads to the </w:t>
      </w:r>
      <w:r>
        <w:rPr>
          <w:i/>
          <w:iCs/>
        </w:rPr>
        <w:t>Ae. aegypti</w:t>
      </w:r>
      <w:r>
        <w:t xml:space="preserve"> genome and transcriptome AaegL5.0 assembly (GCF_002204515.2) using bowtie2 v2.4.5 (44, 45). Remaining reads were assembled using the SPAdes assembler v3.15.4 (46). Virus-derived contigs were identified using BLASTN and BLASTX to search the NCBI nucleotide and protein databases (47). Virus sequences were validated by remapping unassembled reads to draft </w:t>
      </w:r>
      <w:r>
        <w:lastRenderedPageBreak/>
        <w:t>sequences using bowtie2 and annotated using Geneious software v2025.0.3 (https://www.geneious.com). Code is available at: https://github.com/stenglein-lab/taxonomy_pipeline and https://github.com/stenglein-lab/remapping_workflow.</w:t>
      </w:r>
    </w:p>
    <w:p w14:paraId="7C6DB145" w14:textId="77777777" w:rsidR="00B37F15" w:rsidRDefault="00000000">
      <w:pPr>
        <w:pStyle w:val="BodyText"/>
      </w:pPr>
      <w:r>
        <w:rPr>
          <w:b/>
          <w:bCs/>
        </w:rPr>
        <w:t>Endogenous Viral Element (EVE) testing:</w:t>
      </w:r>
      <w:r>
        <w:t xml:space="preserve"> To rule out the presence of a GMV-like endogenous viral element within the host genome, we performed a qPCR as previously described on purified nucleic acid, which included RNA and DNA, without prior reverse transcription.</w:t>
      </w:r>
    </w:p>
    <w:p w14:paraId="1736AD0A" w14:textId="77777777" w:rsidR="00B37F15" w:rsidRDefault="00000000">
      <w:pPr>
        <w:pStyle w:val="BodyText"/>
      </w:pPr>
      <w:r>
        <w:rPr>
          <w:b/>
          <w:bCs/>
        </w:rPr>
        <w:t>Data Availability:</w:t>
      </w:r>
      <w:r>
        <w:t xml:space="preserve"> Data and code for all analyses are available at https://github.com/tdunham19/CM3_Mosquito_Paper. Assembled virus sequences are available in the NCBI nucleotide database under accessions PV646265-PV646272. Metagenomic datasets are available from the NCBI SRA database under bioproject PRJNA1260027. This paper is implemented as a reproducible quarto markdown document (48).</w:t>
      </w:r>
    </w:p>
    <w:tbl>
      <w:tblPr>
        <w:tblStyle w:val="Table"/>
        <w:tblW w:w="5000" w:type="pct"/>
        <w:tblLayout w:type="fixed"/>
        <w:tblLook w:val="0000" w:firstRow="0" w:lastRow="0" w:firstColumn="0" w:lastColumn="0" w:noHBand="0" w:noVBand="0"/>
      </w:tblPr>
      <w:tblGrid>
        <w:gridCol w:w="9360"/>
      </w:tblGrid>
      <w:tr w:rsidR="00B37F15" w14:paraId="1D5400AD" w14:textId="77777777">
        <w:tc>
          <w:tcPr>
            <w:tcW w:w="7920" w:type="dxa"/>
          </w:tcPr>
          <w:p w14:paraId="27990D9C" w14:textId="77777777" w:rsidR="00B37F15" w:rsidRDefault="00000000">
            <w:pPr>
              <w:pStyle w:val="Compact"/>
              <w:jc w:val="center"/>
            </w:pPr>
            <w:bookmarkStart w:id="4" w:name="suppfig-map"/>
            <w:r>
              <w:rPr>
                <w:noProof/>
              </w:rPr>
              <w:drawing>
                <wp:inline distT="0" distB="0" distL="0" distR="0" wp14:anchorId="2952B7EC" wp14:editId="6566A1DD">
                  <wp:extent cx="5943600" cy="3464098"/>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CM3_Map_with_virus_list.png"/>
                          <pic:cNvPicPr>
                            <a:picLocks noChangeAspect="1" noChangeArrowheads="1"/>
                          </pic:cNvPicPr>
                        </pic:nvPicPr>
                        <pic:blipFill>
                          <a:blip r:embed="rId5"/>
                          <a:stretch>
                            <a:fillRect/>
                          </a:stretch>
                        </pic:blipFill>
                        <pic:spPr bwMode="auto">
                          <a:xfrm>
                            <a:off x="0" y="0"/>
                            <a:ext cx="5943600" cy="3464098"/>
                          </a:xfrm>
                          <a:prstGeom prst="rect">
                            <a:avLst/>
                          </a:prstGeom>
                          <a:noFill/>
                          <a:ln w="9525">
                            <a:noFill/>
                            <a:headEnd/>
                            <a:tailEnd/>
                          </a:ln>
                        </pic:spPr>
                      </pic:pic>
                    </a:graphicData>
                  </a:graphic>
                </wp:inline>
              </w:drawing>
            </w:r>
          </w:p>
          <w:p w14:paraId="35ABDD42" w14:textId="77777777" w:rsidR="00B37F15" w:rsidRDefault="00000000">
            <w:pPr>
              <w:pStyle w:val="ImageCaption"/>
              <w:spacing w:before="200"/>
            </w:pPr>
            <w:r>
              <w:t xml:space="preserve">Supplemental Figure 1: Map of original collection locations of </w:t>
            </w:r>
            <w:r>
              <w:rPr>
                <w:iCs/>
              </w:rPr>
              <w:t>Aedes aegypti</w:t>
            </w:r>
            <w:r>
              <w:t xml:space="preserve"> colonies used for this project</w:t>
            </w:r>
          </w:p>
        </w:tc>
        <w:bookmarkEnd w:id="4"/>
      </w:tr>
    </w:tbl>
    <w:p w14:paraId="3AAA9C34" w14:textId="77777777" w:rsidR="00B37F15" w:rsidRDefault="00000000">
      <w:r>
        <w:br w:type="page"/>
      </w:r>
    </w:p>
    <w:p w14:paraId="3E3748F0" w14:textId="77777777" w:rsidR="00B37F15" w:rsidRDefault="00000000">
      <w:pPr>
        <w:pStyle w:val="Heading2"/>
      </w:pPr>
      <w:bookmarkStart w:id="5" w:name="results"/>
      <w:bookmarkEnd w:id="3"/>
      <w:r>
        <w:lastRenderedPageBreak/>
        <w:t>Results</w:t>
      </w:r>
    </w:p>
    <w:p w14:paraId="69F5F50E" w14:textId="77777777" w:rsidR="00B37F15" w:rsidRDefault="00000000">
      <w:pPr>
        <w:pStyle w:val="Heading3"/>
      </w:pPr>
      <w:bookmarkStart w:id="6" w:name="X38d4d4d109dc6c4eea74efdf4496956b3057400"/>
      <w:r>
        <w:t>Metagenomic identification of viruses infecting mosquito colonies</w:t>
      </w:r>
    </w:p>
    <w:p w14:paraId="1BC6FA12" w14:textId="77777777" w:rsidR="00B37F15" w:rsidRDefault="00000000">
      <w:pPr>
        <w:pStyle w:val="FirstParagraph"/>
      </w:pPr>
      <w:r>
        <w:t xml:space="preserve">We used shotgun metagenomic sequencing to characterize the viruses infecting </w:t>
      </w:r>
      <w:r>
        <w:rPr>
          <w:i/>
          <w:iCs/>
        </w:rPr>
        <w:t>Ae. aegypti</w:t>
      </w:r>
      <w:r>
        <w:t xml:space="preserve"> in four colonies maintained in our insectary. We prepared libraries from total RNA from mixed-sex pools of parental mosquitoes from experimental crosses. Libraries were sequenced on an Illumina NovaSeq X instrument to generate an average of 6.3×10</w:t>
      </w:r>
      <w:r>
        <w:rPr>
          <w:vertAlign w:val="superscript"/>
        </w:rPr>
        <w:t>6</w:t>
      </w:r>
      <w:r>
        <w:t xml:space="preserve"> read pairs per dataset. Following quality and adapter trimming and removal of host-mapping reads, an average of 4.1×10</w:t>
      </w:r>
      <w:r>
        <w:rPr>
          <w:vertAlign w:val="superscript"/>
        </w:rPr>
        <w:t>5</w:t>
      </w:r>
      <w:r>
        <w:t xml:space="preserve"> read pairs per dataset remained (6%). Remaining reads were assembled and contigs were used as BLAST queries to the NCBI nucleotide and protein databases to identify virus contigs.</w:t>
      </w:r>
    </w:p>
    <w:p w14:paraId="3B74522A" w14:textId="77777777" w:rsidR="00B37F15" w:rsidRDefault="00000000">
      <w:pPr>
        <w:pStyle w:val="BodyText"/>
      </w:pPr>
      <w:r>
        <w:t xml:space="preserve">This analysis yielded 8 contigs longer than 1000 nt corresponding to sequences from 4 viruses all known to infect </w:t>
      </w:r>
      <w:r>
        <w:rPr>
          <w:i/>
          <w:iCs/>
        </w:rPr>
        <w:t>Ae. aegypti</w:t>
      </w:r>
      <w:r>
        <w:t xml:space="preserve">: Guadeloupe mosquito virus (GMV) (16), verdadero virus (42), chaq-like virus, which is likely a satellite of verdadero virus (42), and </w:t>
      </w:r>
      <w:r>
        <w:rPr>
          <w:i/>
          <w:iCs/>
        </w:rPr>
        <w:t>Aedes</w:t>
      </w:r>
      <w:r>
        <w:t xml:space="preserve"> Anphevirus (AeAV) (33) (</w:t>
      </w:r>
      <w:hyperlink w:anchor="tbl-metagenomics">
        <w:r w:rsidR="00B37F15">
          <w:rPr>
            <w:rStyle w:val="Hyperlink"/>
            <w:b/>
            <w:bCs/>
          </w:rPr>
          <w:t>Table 1</w:t>
        </w:r>
      </w:hyperlink>
      <w:r>
        <w:t>). The Poza Rica colony produced high coverage coding complete sequences for AeAV, GMV, veradero virus, and chaq-like virus. These sequences were all &gt;99% identical to existing sequences (</w:t>
      </w:r>
      <w:hyperlink w:anchor="tbl-metagenomics">
        <w:r w:rsidR="00B37F15">
          <w:rPr>
            <w:rStyle w:val="Hyperlink"/>
            <w:b/>
            <w:bCs/>
          </w:rPr>
          <w:t>Table 1</w:t>
        </w:r>
      </w:hyperlink>
      <w:r>
        <w:t xml:space="preserve">; </w:t>
      </w:r>
      <w:hyperlink w:anchor="suppfig-coverage">
        <w:r w:rsidR="00B37F15">
          <w:rPr>
            <w:rStyle w:val="Hyperlink"/>
            <w:b/>
            <w:bCs/>
          </w:rPr>
          <w:t>Supplemental Figure 2</w:t>
        </w:r>
      </w:hyperlink>
      <w:r>
        <w:t xml:space="preserve">). The Tapachula dataset yielded a coding complete GMV sequence. Neither the New Orleans nor the Vergel colonies produced any candidate viral contigs longer than 1000 nt. Datasets contained shorter contigs with similarity to virus sequences that likely originated from the endogenized viral sequences that are common in </w:t>
      </w:r>
      <w:r>
        <w:rPr>
          <w:i/>
          <w:iCs/>
        </w:rPr>
        <w:t>Aedes</w:t>
      </w:r>
      <w:r>
        <w:t xml:space="preserve"> genomes (49, 50). No reads in the New Orleans or Vergel datasets mapped to the virus sequences detected in the Poza Rica or Tapachula colonies.</w:t>
      </w:r>
    </w:p>
    <w:p w14:paraId="119ED9BF" w14:textId="77777777" w:rsidR="001C502F" w:rsidRDefault="001C502F">
      <w:pPr>
        <w:pStyle w:val="BodyText"/>
      </w:pPr>
    </w:p>
    <w:p w14:paraId="387DC1F3" w14:textId="77777777" w:rsidR="004D0943" w:rsidRDefault="004D0943">
      <w:r>
        <w:rPr>
          <w:i/>
        </w:rPr>
        <w:br w:type="page"/>
      </w:r>
    </w:p>
    <w:tbl>
      <w:tblPr>
        <w:tblStyle w:val="Table"/>
        <w:tblW w:w="5000" w:type="pct"/>
        <w:tblLayout w:type="fixed"/>
        <w:tblLook w:val="0000" w:firstRow="0" w:lastRow="0" w:firstColumn="0" w:lastColumn="0" w:noHBand="0" w:noVBand="0"/>
      </w:tblPr>
      <w:tblGrid>
        <w:gridCol w:w="9360"/>
      </w:tblGrid>
      <w:tr w:rsidR="004D0943" w14:paraId="09A84F87" w14:textId="77777777" w:rsidTr="00A24CD6">
        <w:tc>
          <w:tcPr>
            <w:tcW w:w="7920" w:type="dxa"/>
          </w:tcPr>
          <w:p w14:paraId="0C1F450F" w14:textId="1F19B692" w:rsidR="004D0943" w:rsidRPr="00210A0B" w:rsidRDefault="004D0943" w:rsidP="00A24CD6">
            <w:pPr>
              <w:pStyle w:val="ImageCaption"/>
              <w:spacing w:before="200"/>
              <w:rPr>
                <w:b/>
                <w:bCs/>
              </w:rPr>
            </w:pPr>
            <w:r w:rsidRPr="00210A0B">
              <w:rPr>
                <w:b/>
                <w:bCs/>
              </w:rPr>
              <w:lastRenderedPageBreak/>
              <w:t xml:space="preserve">Table 1: Virus sequences identified in </w:t>
            </w:r>
            <w:r w:rsidRPr="00210A0B">
              <w:rPr>
                <w:b/>
                <w:bCs/>
                <w:iCs/>
              </w:rPr>
              <w:t>Aedes aegypti</w:t>
            </w:r>
            <w:r w:rsidRPr="00210A0B">
              <w:rPr>
                <w:b/>
                <w:bCs/>
              </w:rPr>
              <w:t xml:space="preserve"> colonies using shotgun metagenomic sequencing</w:t>
            </w:r>
          </w:p>
          <w:tbl>
            <w:tblPr>
              <w:tblStyle w:val="Table"/>
              <w:tblW w:w="962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20" w:firstRow="1" w:lastRow="0" w:firstColumn="0" w:lastColumn="0" w:noHBand="0" w:noVBand="0"/>
            </w:tblPr>
            <w:tblGrid>
              <w:gridCol w:w="1320"/>
              <w:gridCol w:w="1320"/>
              <w:gridCol w:w="1945"/>
              <w:gridCol w:w="1800"/>
              <w:gridCol w:w="1710"/>
              <w:gridCol w:w="1530"/>
            </w:tblGrid>
            <w:tr w:rsidR="004D0943" w:rsidRPr="00210A0B" w14:paraId="5CF1FCDC" w14:textId="77777777" w:rsidTr="00A24CD6">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26A90520" w14:textId="77777777" w:rsidR="004D0943" w:rsidRPr="00210A0B" w:rsidRDefault="004D0943" w:rsidP="00A24CD6">
                  <w:pPr>
                    <w:pStyle w:val="Compact"/>
                    <w:jc w:val="center"/>
                    <w:rPr>
                      <w:b/>
                      <w:bCs/>
                    </w:rPr>
                  </w:pPr>
                  <w:r w:rsidRPr="00210A0B">
                    <w:rPr>
                      <w:b/>
                      <w:bCs/>
                    </w:rPr>
                    <w:t>Colony</w:t>
                  </w:r>
                </w:p>
              </w:tc>
              <w:tc>
                <w:tcPr>
                  <w:tcW w:w="1320" w:type="dxa"/>
                  <w:tcBorders>
                    <w:bottom w:val="none" w:sz="0" w:space="0" w:color="auto"/>
                  </w:tcBorders>
                </w:tcPr>
                <w:p w14:paraId="3D366AB3" w14:textId="77777777" w:rsidR="004D0943" w:rsidRPr="00210A0B" w:rsidRDefault="004D0943" w:rsidP="00A24CD6">
                  <w:pPr>
                    <w:pStyle w:val="Compact"/>
                    <w:jc w:val="center"/>
                    <w:rPr>
                      <w:b/>
                      <w:bCs/>
                    </w:rPr>
                  </w:pPr>
                  <w:r w:rsidRPr="00210A0B">
                    <w:rPr>
                      <w:b/>
                      <w:bCs/>
                    </w:rPr>
                    <w:t>Virus</w:t>
                  </w:r>
                </w:p>
              </w:tc>
              <w:tc>
                <w:tcPr>
                  <w:tcW w:w="1945" w:type="dxa"/>
                  <w:tcBorders>
                    <w:bottom w:val="none" w:sz="0" w:space="0" w:color="auto"/>
                  </w:tcBorders>
                </w:tcPr>
                <w:p w14:paraId="6BA83934" w14:textId="77777777" w:rsidR="004D0943" w:rsidRPr="00210A0B" w:rsidRDefault="004D0943" w:rsidP="00A24CD6">
                  <w:pPr>
                    <w:pStyle w:val="Compact"/>
                    <w:jc w:val="center"/>
                    <w:rPr>
                      <w:b/>
                      <w:bCs/>
                    </w:rPr>
                  </w:pPr>
                  <w:r w:rsidRPr="00210A0B">
                    <w:rPr>
                      <w:b/>
                      <w:bCs/>
                    </w:rPr>
                    <w:t>Most similar Genbank sequence (a)</w:t>
                  </w:r>
                </w:p>
              </w:tc>
              <w:tc>
                <w:tcPr>
                  <w:tcW w:w="1800" w:type="dxa"/>
                  <w:tcBorders>
                    <w:bottom w:val="none" w:sz="0" w:space="0" w:color="auto"/>
                  </w:tcBorders>
                </w:tcPr>
                <w:p w14:paraId="2FA77A7A" w14:textId="77777777" w:rsidR="004D0943" w:rsidRPr="00210A0B" w:rsidRDefault="004D0943" w:rsidP="00A24CD6">
                  <w:pPr>
                    <w:pStyle w:val="Compact"/>
                    <w:jc w:val="center"/>
                    <w:rPr>
                      <w:b/>
                      <w:bCs/>
                    </w:rPr>
                  </w:pPr>
                  <w:r w:rsidRPr="00210A0B">
                    <w:rPr>
                      <w:b/>
                      <w:bCs/>
                    </w:rPr>
                    <w:t>Identity to most similar sequence (%)</w:t>
                  </w:r>
                </w:p>
              </w:tc>
              <w:tc>
                <w:tcPr>
                  <w:tcW w:w="1710" w:type="dxa"/>
                  <w:tcBorders>
                    <w:bottom w:val="none" w:sz="0" w:space="0" w:color="auto"/>
                  </w:tcBorders>
                </w:tcPr>
                <w:p w14:paraId="47125417" w14:textId="77777777" w:rsidR="004D0943" w:rsidRPr="00210A0B" w:rsidRDefault="004D0943" w:rsidP="00A24CD6">
                  <w:pPr>
                    <w:pStyle w:val="Compact"/>
                    <w:jc w:val="center"/>
                    <w:rPr>
                      <w:b/>
                      <w:bCs/>
                    </w:rPr>
                  </w:pPr>
                  <w:r w:rsidRPr="00210A0B">
                    <w:rPr>
                      <w:b/>
                      <w:bCs/>
                    </w:rPr>
                    <w:t>Genbank accession (b)</w:t>
                  </w:r>
                </w:p>
              </w:tc>
              <w:tc>
                <w:tcPr>
                  <w:tcW w:w="1530" w:type="dxa"/>
                  <w:tcBorders>
                    <w:bottom w:val="none" w:sz="0" w:space="0" w:color="auto"/>
                  </w:tcBorders>
                </w:tcPr>
                <w:p w14:paraId="2530D1EB" w14:textId="77777777" w:rsidR="004D0943" w:rsidRPr="00210A0B" w:rsidRDefault="004D0943" w:rsidP="00A24CD6">
                  <w:pPr>
                    <w:pStyle w:val="Compact"/>
                    <w:jc w:val="center"/>
                    <w:rPr>
                      <w:b/>
                      <w:bCs/>
                    </w:rPr>
                  </w:pPr>
                  <w:r w:rsidRPr="00210A0B">
                    <w:rPr>
                      <w:b/>
                      <w:bCs/>
                    </w:rPr>
                    <w:t>Average coverage depth (X) (c)</w:t>
                  </w:r>
                </w:p>
              </w:tc>
            </w:tr>
            <w:tr w:rsidR="004D0943" w14:paraId="21228939" w14:textId="77777777" w:rsidTr="00A24CD6">
              <w:tc>
                <w:tcPr>
                  <w:tcW w:w="1320" w:type="dxa"/>
                </w:tcPr>
                <w:p w14:paraId="4A7E719E" w14:textId="77777777" w:rsidR="004D0943" w:rsidRDefault="004D0943" w:rsidP="00A24CD6">
                  <w:pPr>
                    <w:pStyle w:val="Compact"/>
                    <w:jc w:val="center"/>
                  </w:pPr>
                  <w:r>
                    <w:t>Poza Rica</w:t>
                  </w:r>
                </w:p>
              </w:tc>
              <w:tc>
                <w:tcPr>
                  <w:tcW w:w="1320" w:type="dxa"/>
                </w:tcPr>
                <w:p w14:paraId="6FD9913D" w14:textId="77777777" w:rsidR="004D0943" w:rsidRDefault="004D0943" w:rsidP="00A24CD6">
                  <w:pPr>
                    <w:pStyle w:val="Compact"/>
                    <w:jc w:val="center"/>
                  </w:pPr>
                  <w:r>
                    <w:t>Aedes anphevirus</w:t>
                  </w:r>
                </w:p>
              </w:tc>
              <w:tc>
                <w:tcPr>
                  <w:tcW w:w="1945" w:type="dxa"/>
                </w:tcPr>
                <w:p w14:paraId="08A5BF02" w14:textId="77777777" w:rsidR="004D0943" w:rsidRDefault="004D0943" w:rsidP="00A24CD6">
                  <w:pPr>
                    <w:pStyle w:val="Compact"/>
                    <w:jc w:val="center"/>
                  </w:pPr>
                  <w:r>
                    <w:t>MW435013</w:t>
                  </w:r>
                </w:p>
              </w:tc>
              <w:tc>
                <w:tcPr>
                  <w:tcW w:w="1800" w:type="dxa"/>
                </w:tcPr>
                <w:p w14:paraId="599D6E24" w14:textId="77777777" w:rsidR="004D0943" w:rsidRDefault="004D0943" w:rsidP="00A24CD6">
                  <w:pPr>
                    <w:pStyle w:val="Compact"/>
                    <w:jc w:val="center"/>
                  </w:pPr>
                  <w:r>
                    <w:t>99.6</w:t>
                  </w:r>
                </w:p>
              </w:tc>
              <w:tc>
                <w:tcPr>
                  <w:tcW w:w="1710" w:type="dxa"/>
                </w:tcPr>
                <w:p w14:paraId="079740AF" w14:textId="77777777" w:rsidR="004D0943" w:rsidRDefault="004D0943" w:rsidP="00A24CD6">
                  <w:pPr>
                    <w:pStyle w:val="Compact"/>
                    <w:jc w:val="center"/>
                  </w:pPr>
                  <w:r>
                    <w:t>PV646265</w:t>
                  </w:r>
                </w:p>
              </w:tc>
              <w:tc>
                <w:tcPr>
                  <w:tcW w:w="1530" w:type="dxa"/>
                </w:tcPr>
                <w:p w14:paraId="509938BD" w14:textId="77777777" w:rsidR="004D0943" w:rsidRDefault="004D0943" w:rsidP="00A24CD6">
                  <w:pPr>
                    <w:pStyle w:val="Compact"/>
                    <w:jc w:val="center"/>
                  </w:pPr>
                  <w:r>
                    <w:t>38x</w:t>
                  </w:r>
                </w:p>
              </w:tc>
            </w:tr>
            <w:tr w:rsidR="004D0943" w14:paraId="71843110" w14:textId="77777777" w:rsidTr="00A24CD6">
              <w:tc>
                <w:tcPr>
                  <w:tcW w:w="1320" w:type="dxa"/>
                </w:tcPr>
                <w:p w14:paraId="44F70C06" w14:textId="77777777" w:rsidR="004D0943" w:rsidRDefault="004D0943" w:rsidP="00A24CD6">
                  <w:pPr>
                    <w:pStyle w:val="Compact"/>
                    <w:jc w:val="center"/>
                  </w:pPr>
                  <w:r>
                    <w:t>Poza Rica</w:t>
                  </w:r>
                </w:p>
              </w:tc>
              <w:tc>
                <w:tcPr>
                  <w:tcW w:w="1320" w:type="dxa"/>
                </w:tcPr>
                <w:p w14:paraId="5495247C" w14:textId="77777777" w:rsidR="004D0943" w:rsidRDefault="004D0943" w:rsidP="00A24CD6">
                  <w:pPr>
                    <w:pStyle w:val="Compact"/>
                    <w:jc w:val="center"/>
                  </w:pPr>
                  <w:r>
                    <w:t>Verdadero virus RNA 1 &amp; 2</w:t>
                  </w:r>
                </w:p>
              </w:tc>
              <w:tc>
                <w:tcPr>
                  <w:tcW w:w="1945" w:type="dxa"/>
                </w:tcPr>
                <w:p w14:paraId="78A58EDF" w14:textId="77777777" w:rsidR="004D0943" w:rsidRDefault="004D0943" w:rsidP="00A24CD6">
                  <w:pPr>
                    <w:pStyle w:val="Compact"/>
                    <w:jc w:val="center"/>
                  </w:pPr>
                  <w:r>
                    <w:t>MT742174, MT742175</w:t>
                  </w:r>
                </w:p>
              </w:tc>
              <w:tc>
                <w:tcPr>
                  <w:tcW w:w="1800" w:type="dxa"/>
                </w:tcPr>
                <w:p w14:paraId="0266FB73" w14:textId="77777777" w:rsidR="004D0943" w:rsidRDefault="004D0943" w:rsidP="00A24CD6">
                  <w:pPr>
                    <w:pStyle w:val="Compact"/>
                    <w:jc w:val="center"/>
                  </w:pPr>
                  <w:r>
                    <w:t>99.8-99.9</w:t>
                  </w:r>
                </w:p>
              </w:tc>
              <w:tc>
                <w:tcPr>
                  <w:tcW w:w="1710" w:type="dxa"/>
                </w:tcPr>
                <w:p w14:paraId="43C9169C" w14:textId="77777777" w:rsidR="004D0943" w:rsidRDefault="004D0943" w:rsidP="00A24CD6">
                  <w:pPr>
                    <w:pStyle w:val="Compact"/>
                    <w:jc w:val="center"/>
                  </w:pPr>
                  <w:r>
                    <w:t>PV646269-PV646270</w:t>
                  </w:r>
                </w:p>
              </w:tc>
              <w:tc>
                <w:tcPr>
                  <w:tcW w:w="1530" w:type="dxa"/>
                </w:tcPr>
                <w:p w14:paraId="1475427B" w14:textId="77777777" w:rsidR="004D0943" w:rsidRDefault="004D0943" w:rsidP="00A24CD6">
                  <w:pPr>
                    <w:pStyle w:val="Compact"/>
                    <w:jc w:val="center"/>
                  </w:pPr>
                  <w:r>
                    <w:t>356x</w:t>
                  </w:r>
                </w:p>
              </w:tc>
            </w:tr>
            <w:tr w:rsidR="004D0943" w14:paraId="22A66DB0" w14:textId="77777777" w:rsidTr="00A24CD6">
              <w:tc>
                <w:tcPr>
                  <w:tcW w:w="1320" w:type="dxa"/>
                </w:tcPr>
                <w:p w14:paraId="775B1E7B" w14:textId="77777777" w:rsidR="004D0943" w:rsidRDefault="004D0943" w:rsidP="00A24CD6">
                  <w:pPr>
                    <w:pStyle w:val="Compact"/>
                    <w:jc w:val="center"/>
                  </w:pPr>
                  <w:r>
                    <w:t>Poza Rica</w:t>
                  </w:r>
                </w:p>
              </w:tc>
              <w:tc>
                <w:tcPr>
                  <w:tcW w:w="1320" w:type="dxa"/>
                </w:tcPr>
                <w:p w14:paraId="7DAD55A2" w14:textId="77777777" w:rsidR="004D0943" w:rsidRDefault="004D0943" w:rsidP="00A24CD6">
                  <w:pPr>
                    <w:pStyle w:val="Compact"/>
                    <w:jc w:val="center"/>
                  </w:pPr>
                  <w:r>
                    <w:t>Chaq-like virus</w:t>
                  </w:r>
                </w:p>
              </w:tc>
              <w:tc>
                <w:tcPr>
                  <w:tcW w:w="1945" w:type="dxa"/>
                </w:tcPr>
                <w:p w14:paraId="7DBB18EA" w14:textId="77777777" w:rsidR="004D0943" w:rsidRDefault="004D0943" w:rsidP="00A24CD6">
                  <w:pPr>
                    <w:pStyle w:val="Compact"/>
                    <w:jc w:val="center"/>
                  </w:pPr>
                  <w:r>
                    <w:t>MT742176</w:t>
                  </w:r>
                </w:p>
              </w:tc>
              <w:tc>
                <w:tcPr>
                  <w:tcW w:w="1800" w:type="dxa"/>
                </w:tcPr>
                <w:p w14:paraId="0DB7CCF6" w14:textId="77777777" w:rsidR="004D0943" w:rsidRDefault="004D0943" w:rsidP="00A24CD6">
                  <w:pPr>
                    <w:pStyle w:val="Compact"/>
                    <w:jc w:val="center"/>
                  </w:pPr>
                  <w:r>
                    <w:t>100</w:t>
                  </w:r>
                </w:p>
              </w:tc>
              <w:tc>
                <w:tcPr>
                  <w:tcW w:w="1710" w:type="dxa"/>
                </w:tcPr>
                <w:p w14:paraId="5F3EA7E5" w14:textId="77777777" w:rsidR="004D0943" w:rsidRDefault="004D0943" w:rsidP="00A24CD6">
                  <w:pPr>
                    <w:pStyle w:val="Compact"/>
                    <w:jc w:val="center"/>
                  </w:pPr>
                  <w:r>
                    <w:t>PV646266</w:t>
                  </w:r>
                </w:p>
              </w:tc>
              <w:tc>
                <w:tcPr>
                  <w:tcW w:w="1530" w:type="dxa"/>
                </w:tcPr>
                <w:p w14:paraId="01BBF4AE" w14:textId="77777777" w:rsidR="004D0943" w:rsidRDefault="004D0943" w:rsidP="00A24CD6">
                  <w:pPr>
                    <w:pStyle w:val="Compact"/>
                    <w:jc w:val="center"/>
                  </w:pPr>
                  <w:r>
                    <w:t>910x</w:t>
                  </w:r>
                </w:p>
              </w:tc>
            </w:tr>
            <w:tr w:rsidR="004D0943" w14:paraId="21987F0C" w14:textId="77777777" w:rsidTr="00A24CD6">
              <w:tc>
                <w:tcPr>
                  <w:tcW w:w="1320" w:type="dxa"/>
                </w:tcPr>
                <w:p w14:paraId="65CAAE70" w14:textId="77777777" w:rsidR="004D0943" w:rsidRDefault="004D0943" w:rsidP="00A24CD6">
                  <w:pPr>
                    <w:pStyle w:val="Compact"/>
                    <w:jc w:val="center"/>
                  </w:pPr>
                  <w:r>
                    <w:t>Poza Rica</w:t>
                  </w:r>
                </w:p>
              </w:tc>
              <w:tc>
                <w:tcPr>
                  <w:tcW w:w="1320" w:type="dxa"/>
                </w:tcPr>
                <w:p w14:paraId="2B92E3B1" w14:textId="77777777" w:rsidR="004D0943" w:rsidRDefault="004D0943" w:rsidP="00A24CD6">
                  <w:pPr>
                    <w:pStyle w:val="Compact"/>
                    <w:jc w:val="center"/>
                  </w:pPr>
                  <w:r>
                    <w:t>Guadeloupe mosquito virus RNA 1 &amp; 2</w:t>
                  </w:r>
                </w:p>
              </w:tc>
              <w:tc>
                <w:tcPr>
                  <w:tcW w:w="1945" w:type="dxa"/>
                </w:tcPr>
                <w:p w14:paraId="3D35D172" w14:textId="77777777" w:rsidR="004D0943" w:rsidRDefault="004D0943" w:rsidP="00A24CD6">
                  <w:pPr>
                    <w:pStyle w:val="Compact"/>
                    <w:jc w:val="center"/>
                  </w:pPr>
                  <w:r>
                    <w:t>MW434816, MW434807</w:t>
                  </w:r>
                </w:p>
              </w:tc>
              <w:tc>
                <w:tcPr>
                  <w:tcW w:w="1800" w:type="dxa"/>
                </w:tcPr>
                <w:p w14:paraId="54B0DB94" w14:textId="77777777" w:rsidR="004D0943" w:rsidRDefault="004D0943" w:rsidP="00A24CD6">
                  <w:pPr>
                    <w:pStyle w:val="Compact"/>
                    <w:jc w:val="center"/>
                  </w:pPr>
                  <w:r>
                    <w:t>99.3-99.6</w:t>
                  </w:r>
                </w:p>
              </w:tc>
              <w:tc>
                <w:tcPr>
                  <w:tcW w:w="1710" w:type="dxa"/>
                </w:tcPr>
                <w:p w14:paraId="1FE49C74" w14:textId="77777777" w:rsidR="004D0943" w:rsidRDefault="004D0943" w:rsidP="00A24CD6">
                  <w:pPr>
                    <w:pStyle w:val="Compact"/>
                    <w:jc w:val="center"/>
                  </w:pPr>
                  <w:r>
                    <w:t>PV646267-PV646268</w:t>
                  </w:r>
                </w:p>
              </w:tc>
              <w:tc>
                <w:tcPr>
                  <w:tcW w:w="1530" w:type="dxa"/>
                </w:tcPr>
                <w:p w14:paraId="2052BFE5" w14:textId="77777777" w:rsidR="004D0943" w:rsidRDefault="004D0943" w:rsidP="00A24CD6">
                  <w:pPr>
                    <w:pStyle w:val="Compact"/>
                    <w:jc w:val="center"/>
                  </w:pPr>
                  <w:r>
                    <w:t>1202x</w:t>
                  </w:r>
                </w:p>
              </w:tc>
            </w:tr>
            <w:tr w:rsidR="004D0943" w14:paraId="5DAA0ACF" w14:textId="77777777" w:rsidTr="00A24CD6">
              <w:tc>
                <w:tcPr>
                  <w:tcW w:w="1320" w:type="dxa"/>
                </w:tcPr>
                <w:p w14:paraId="724EB471" w14:textId="77777777" w:rsidR="004D0943" w:rsidRDefault="004D0943" w:rsidP="00A24CD6">
                  <w:pPr>
                    <w:pStyle w:val="Compact"/>
                    <w:jc w:val="center"/>
                  </w:pPr>
                  <w:r>
                    <w:t>Tapachula</w:t>
                  </w:r>
                </w:p>
              </w:tc>
              <w:tc>
                <w:tcPr>
                  <w:tcW w:w="1320" w:type="dxa"/>
                </w:tcPr>
                <w:p w14:paraId="506D3F06" w14:textId="77777777" w:rsidR="004D0943" w:rsidRDefault="004D0943" w:rsidP="00A24CD6">
                  <w:pPr>
                    <w:pStyle w:val="Compact"/>
                    <w:jc w:val="center"/>
                  </w:pPr>
                  <w:r>
                    <w:t>Guadeloupe mosquito virus RNA 1 &amp; 2</w:t>
                  </w:r>
                </w:p>
              </w:tc>
              <w:tc>
                <w:tcPr>
                  <w:tcW w:w="1945" w:type="dxa"/>
                </w:tcPr>
                <w:p w14:paraId="0A179948" w14:textId="77777777" w:rsidR="004D0943" w:rsidRDefault="004D0943" w:rsidP="00A24CD6">
                  <w:pPr>
                    <w:pStyle w:val="Compact"/>
                    <w:jc w:val="center"/>
                  </w:pPr>
                  <w:r>
                    <w:t>MW434816, MN053806</w:t>
                  </w:r>
                </w:p>
              </w:tc>
              <w:tc>
                <w:tcPr>
                  <w:tcW w:w="1800" w:type="dxa"/>
                </w:tcPr>
                <w:p w14:paraId="4660194D" w14:textId="77777777" w:rsidR="004D0943" w:rsidRDefault="004D0943" w:rsidP="00A24CD6">
                  <w:pPr>
                    <w:pStyle w:val="Compact"/>
                    <w:jc w:val="center"/>
                  </w:pPr>
                  <w:r>
                    <w:t>99.1-99.6</w:t>
                  </w:r>
                </w:p>
              </w:tc>
              <w:tc>
                <w:tcPr>
                  <w:tcW w:w="1710" w:type="dxa"/>
                </w:tcPr>
                <w:p w14:paraId="6FB77703" w14:textId="77777777" w:rsidR="004D0943" w:rsidRDefault="004D0943" w:rsidP="00A24CD6">
                  <w:pPr>
                    <w:pStyle w:val="Compact"/>
                    <w:jc w:val="center"/>
                  </w:pPr>
                  <w:r>
                    <w:t>PV646271-PV646272</w:t>
                  </w:r>
                </w:p>
              </w:tc>
              <w:tc>
                <w:tcPr>
                  <w:tcW w:w="1530" w:type="dxa"/>
                </w:tcPr>
                <w:p w14:paraId="6C5D9856" w14:textId="77777777" w:rsidR="004D0943" w:rsidRDefault="004D0943" w:rsidP="00A24CD6">
                  <w:pPr>
                    <w:pStyle w:val="Compact"/>
                    <w:jc w:val="center"/>
                  </w:pPr>
                  <w:r>
                    <w:t>589x</w:t>
                  </w:r>
                </w:p>
              </w:tc>
            </w:tr>
          </w:tbl>
          <w:p w14:paraId="5F6D92DF" w14:textId="77777777" w:rsidR="004D0943" w:rsidRDefault="004D0943" w:rsidP="00A24CD6"/>
        </w:tc>
      </w:tr>
    </w:tbl>
    <w:p w14:paraId="1EFC52F1" w14:textId="77777777" w:rsidR="001C502F" w:rsidRDefault="001C502F">
      <w:pPr>
        <w:pStyle w:val="BodyText"/>
      </w:pPr>
    </w:p>
    <w:p w14:paraId="773804A4" w14:textId="77777777" w:rsidR="00B37F15" w:rsidRDefault="00000000">
      <w:pPr>
        <w:pStyle w:val="Compact"/>
        <w:numPr>
          <w:ilvl w:val="0"/>
          <w:numId w:val="4"/>
        </w:numPr>
      </w:pPr>
      <w:r>
        <w:t>The most similar existing sequence in the NCBI nucleotide database, determined using a BLASTN search.</w:t>
      </w:r>
    </w:p>
    <w:p w14:paraId="3B16F460" w14:textId="77777777" w:rsidR="00B37F15" w:rsidRDefault="00000000">
      <w:pPr>
        <w:pStyle w:val="Compact"/>
        <w:numPr>
          <w:ilvl w:val="0"/>
          <w:numId w:val="4"/>
        </w:numPr>
      </w:pPr>
      <w:r>
        <w:t>Accessions of newly deposited sequences from this study.</w:t>
      </w:r>
    </w:p>
    <w:p w14:paraId="7AA9D6D2" w14:textId="77777777" w:rsidR="00B37F15" w:rsidRDefault="00000000">
      <w:pPr>
        <w:pStyle w:val="Compact"/>
        <w:numPr>
          <w:ilvl w:val="0"/>
          <w:numId w:val="4"/>
        </w:numPr>
      </w:pPr>
      <w:r>
        <w:t>The average depth of coverage in metagenomic datasets.</w:t>
      </w:r>
    </w:p>
    <w:tbl>
      <w:tblPr>
        <w:tblStyle w:val="Table"/>
        <w:tblW w:w="5000" w:type="pct"/>
        <w:tblLayout w:type="fixed"/>
        <w:tblLook w:val="0000" w:firstRow="0" w:lastRow="0" w:firstColumn="0" w:lastColumn="0" w:noHBand="0" w:noVBand="0"/>
      </w:tblPr>
      <w:tblGrid>
        <w:gridCol w:w="9360"/>
      </w:tblGrid>
      <w:tr w:rsidR="00B37F15" w14:paraId="0A893C6A" w14:textId="77777777">
        <w:tc>
          <w:tcPr>
            <w:tcW w:w="7920" w:type="dxa"/>
          </w:tcPr>
          <w:p w14:paraId="60A32F39" w14:textId="77777777" w:rsidR="00B37F15" w:rsidRDefault="00000000">
            <w:pPr>
              <w:pStyle w:val="Compact"/>
              <w:jc w:val="center"/>
            </w:pPr>
            <w:bookmarkStart w:id="7" w:name="suppfig-coverage"/>
            <w:r>
              <w:rPr>
                <w:noProof/>
              </w:rPr>
              <w:lastRenderedPageBreak/>
              <w:drawing>
                <wp:inline distT="0" distB="0" distL="0" distR="0" wp14:anchorId="2D5C7FEA" wp14:editId="50A40BAC">
                  <wp:extent cx="5943600" cy="769171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Supplemental_figure_coverage_plot.png"/>
                          <pic:cNvPicPr>
                            <a:picLocks noChangeAspect="1" noChangeArrowheads="1"/>
                          </pic:cNvPicPr>
                        </pic:nvPicPr>
                        <pic:blipFill>
                          <a:blip r:embed="rId6"/>
                          <a:stretch>
                            <a:fillRect/>
                          </a:stretch>
                        </pic:blipFill>
                        <pic:spPr bwMode="auto">
                          <a:xfrm>
                            <a:off x="0" y="0"/>
                            <a:ext cx="5943600" cy="7691717"/>
                          </a:xfrm>
                          <a:prstGeom prst="rect">
                            <a:avLst/>
                          </a:prstGeom>
                          <a:noFill/>
                          <a:ln w="9525">
                            <a:noFill/>
                            <a:headEnd/>
                            <a:tailEnd/>
                          </a:ln>
                        </pic:spPr>
                      </pic:pic>
                    </a:graphicData>
                  </a:graphic>
                </wp:inline>
              </w:drawing>
            </w:r>
          </w:p>
          <w:p w14:paraId="6F577DFD" w14:textId="77777777" w:rsidR="00B37F15" w:rsidRDefault="00000000">
            <w:pPr>
              <w:pStyle w:val="ImageCaption"/>
              <w:spacing w:before="200"/>
            </w:pPr>
            <w:r>
              <w:lastRenderedPageBreak/>
              <w:t xml:space="preserve">Supplemental Figure 2: Coverage depth of virus sequences identified in </w:t>
            </w:r>
            <w:r>
              <w:rPr>
                <w:iCs/>
              </w:rPr>
              <w:t>Aedes aegypti</w:t>
            </w:r>
            <w:r>
              <w:t xml:space="preserve"> colonies using shotgun metagenomic sequencing. Average coverage depth of mapped reads in 10-nucleotide windows is plotted. NCBI nucleotide accessions of virus sequences are indicated.</w:t>
            </w:r>
          </w:p>
        </w:tc>
        <w:bookmarkEnd w:id="7"/>
      </w:tr>
    </w:tbl>
    <w:p w14:paraId="4DDF5864" w14:textId="77777777" w:rsidR="00B37F15" w:rsidRDefault="00000000">
      <w:pPr>
        <w:pStyle w:val="BodyText"/>
      </w:pPr>
      <w:r>
        <w:lastRenderedPageBreak/>
        <w:t>To determine the efficiency with which these viruses were transmitted from adults to offspring, we set up a series of crosses involving mosquitoes from the different colonies (</w:t>
      </w:r>
      <w:hyperlink w:anchor="suppfig-map">
        <w:r w:rsidR="00B37F15">
          <w:rPr>
            <w:rStyle w:val="Hyperlink"/>
            <w:b/>
            <w:bCs/>
          </w:rPr>
          <w:t>Supplemental Figure 1</w:t>
        </w:r>
      </w:hyperlink>
      <w:r>
        <w:rPr>
          <w:b/>
          <w:bCs/>
        </w:rPr>
        <w:t xml:space="preserve">, </w:t>
      </w:r>
      <w:hyperlink w:anchor="suppfig-rearing">
        <w:r w:rsidR="00B37F15">
          <w:rPr>
            <w:rStyle w:val="Hyperlink"/>
            <w:b/>
            <w:bCs/>
          </w:rPr>
          <w:t>Supplemental Figure 3</w:t>
        </w:r>
      </w:hyperlink>
      <w:r>
        <w:t>). We used RT-qPCR to quantify the fraction of individuals infected (prevalence) and viral RNA levels in individual mosquitoes. Sampling of adults at the time of crossing allowed us to measure prevalences and RNA levels in parental populations. Sampling of adults after cohabitation and mating provided an estimate of possible horizontal transmission. Sampling of adult offspring from crosses revealed the efficiency with which the viruses transmitted vertically from parents to the next generation (</w:t>
      </w:r>
      <w:hyperlink w:anchor="suppfig-rearing">
        <w:r w:rsidR="00B37F15">
          <w:rPr>
            <w:rStyle w:val="Hyperlink"/>
            <w:b/>
            <w:bCs/>
          </w:rPr>
          <w:t>Supplemental Figure 3</w:t>
        </w:r>
      </w:hyperlink>
      <w:r>
        <w:t>). By setting up crosses with males or females from the different populations we were able to separately quantify paternal and maternal transmission efficiencies and evaluate potential impacts of different parental genotypes. We performed each cross twice and report the results of both replicate experiments.</w:t>
      </w:r>
    </w:p>
    <w:tbl>
      <w:tblPr>
        <w:tblStyle w:val="Table"/>
        <w:tblW w:w="5000" w:type="pct"/>
        <w:tblLayout w:type="fixed"/>
        <w:tblLook w:val="0000" w:firstRow="0" w:lastRow="0" w:firstColumn="0" w:lastColumn="0" w:noHBand="0" w:noVBand="0"/>
      </w:tblPr>
      <w:tblGrid>
        <w:gridCol w:w="9360"/>
      </w:tblGrid>
      <w:tr w:rsidR="00B37F15" w14:paraId="4CA2EB91" w14:textId="77777777">
        <w:tc>
          <w:tcPr>
            <w:tcW w:w="7920" w:type="dxa"/>
          </w:tcPr>
          <w:p w14:paraId="0C4EE2C7" w14:textId="77777777" w:rsidR="00B37F15" w:rsidRDefault="00000000">
            <w:pPr>
              <w:pStyle w:val="Compact"/>
              <w:jc w:val="center"/>
            </w:pPr>
            <w:bookmarkStart w:id="8" w:name="suppfig-rearing"/>
            <w:r>
              <w:rPr>
                <w:noProof/>
              </w:rPr>
              <w:drawing>
                <wp:inline distT="0" distB="0" distL="0" distR="0" wp14:anchorId="4060B341" wp14:editId="381230D3">
                  <wp:extent cx="5943600" cy="321692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Rearing_schedule_and_lifecycle.png"/>
                          <pic:cNvPicPr>
                            <a:picLocks noChangeAspect="1" noChangeArrowheads="1"/>
                          </pic:cNvPicPr>
                        </pic:nvPicPr>
                        <pic:blipFill rotWithShape="1">
                          <a:blip r:embed="rId7"/>
                          <a:srcRect b="22680"/>
                          <a:stretch>
                            <a:fillRect/>
                          </a:stretch>
                        </pic:blipFill>
                        <pic:spPr bwMode="auto">
                          <a:xfrm>
                            <a:off x="0" y="0"/>
                            <a:ext cx="5943600" cy="3216925"/>
                          </a:xfrm>
                          <a:prstGeom prst="rect">
                            <a:avLst/>
                          </a:prstGeom>
                          <a:noFill/>
                          <a:ln>
                            <a:noFill/>
                          </a:ln>
                          <a:extLst>
                            <a:ext uri="{53640926-AAD7-44D8-BBD7-CCE9431645EC}">
                              <a14:shadowObscured xmlns:a14="http://schemas.microsoft.com/office/drawing/2010/main"/>
                            </a:ext>
                          </a:extLst>
                        </pic:spPr>
                      </pic:pic>
                    </a:graphicData>
                  </a:graphic>
                </wp:inline>
              </w:drawing>
            </w:r>
          </w:p>
          <w:p w14:paraId="495E95BA" w14:textId="77777777" w:rsidR="00B37F15" w:rsidRDefault="00000000">
            <w:pPr>
              <w:pStyle w:val="ImageCaption"/>
              <w:spacing w:before="200"/>
            </w:pPr>
            <w:r>
              <w:lastRenderedPageBreak/>
              <w:t xml:space="preserve">Supplemental Figure 3: </w:t>
            </w:r>
            <w:r>
              <w:rPr>
                <w:iCs/>
              </w:rPr>
              <w:t>Aedes Aegypti</w:t>
            </w:r>
            <w:r>
              <w:t xml:space="preserve"> Rearing Schedule and Lifecycle: Outline of experiment, </w:t>
            </w:r>
            <w:r>
              <w:rPr>
                <w:iCs/>
              </w:rPr>
              <w:t>Aedes aegypti</w:t>
            </w:r>
            <w:r>
              <w:t xml:space="preserve"> life cycle and screening time points throughout the experiment. Created in BioRender. Dunham, T. (2026) https://BioRender.com/1wb7iq3.</w:t>
            </w:r>
          </w:p>
        </w:tc>
        <w:bookmarkEnd w:id="8"/>
      </w:tr>
    </w:tbl>
    <w:p w14:paraId="21340234" w14:textId="77777777" w:rsidR="00B37F15" w:rsidRDefault="00000000">
      <w:pPr>
        <w:pStyle w:val="Heading3"/>
      </w:pPr>
      <w:bookmarkStart w:id="9" w:name="aedes-anphevirus"/>
      <w:bookmarkEnd w:id="6"/>
      <w:r>
        <w:lastRenderedPageBreak/>
        <w:t>Aedes anphevirus</w:t>
      </w:r>
    </w:p>
    <w:p w14:paraId="63454746" w14:textId="77777777" w:rsidR="00B37F15" w:rsidRDefault="00000000">
      <w:pPr>
        <w:pStyle w:val="FirstParagraph"/>
      </w:pPr>
      <w:r>
        <w:rPr>
          <w:i/>
          <w:iCs/>
        </w:rPr>
        <w:t>Aedes</w:t>
      </w:r>
      <w:r>
        <w:t xml:space="preserve"> anphevirus is a member of the order </w:t>
      </w:r>
      <w:r>
        <w:rPr>
          <w:i/>
          <w:iCs/>
        </w:rPr>
        <w:t>Mononegavirales</w:t>
      </w:r>
      <w:r>
        <w:t xml:space="preserve">, which includes diverse monopartite negative-sense single-stranded RNA viruses (33, 51). Related viruses have been identified in other </w:t>
      </w:r>
      <w:r>
        <w:rPr>
          <w:i/>
          <w:iCs/>
        </w:rPr>
        <w:t>Aedes</w:t>
      </w:r>
      <w:r>
        <w:t xml:space="preserve"> and </w:t>
      </w:r>
      <w:r>
        <w:rPr>
          <w:i/>
          <w:iCs/>
        </w:rPr>
        <w:t>Anopheles</w:t>
      </w:r>
      <w:r>
        <w:t xml:space="preserve"> mosquito vector species (e.g., (11, 52)). The detection of anphevirus in </w:t>
      </w:r>
      <w:r>
        <w:rPr>
          <w:i/>
          <w:iCs/>
        </w:rPr>
        <w:t>Ae. aegypti</w:t>
      </w:r>
      <w:r>
        <w:t xml:space="preserve"> sperm and eggs suggested that this virus could be vertically transmitted, potentially from either parent (33, 52).</w:t>
      </w:r>
    </w:p>
    <w:p w14:paraId="73CC4615" w14:textId="77777777" w:rsidR="00B37F15" w:rsidRDefault="00000000">
      <w:pPr>
        <w:pStyle w:val="BodyText"/>
      </w:pPr>
      <w:r>
        <w:t>Nearly all tested adult mosquitoes in the Poza Rica colony were anphevirus-infected: 12/12 (100%) of males and 11/12 (92%) of females were positive by RT-qPCR (</w:t>
      </w:r>
      <w:hyperlink w:anchor="fig-anphe">
        <w:r w:rsidR="00B37F15">
          <w:rPr>
            <w:rStyle w:val="Hyperlink"/>
            <w:b/>
            <w:bCs/>
          </w:rPr>
          <w:t>Figure 1</w:t>
        </w:r>
      </w:hyperlink>
      <w:r>
        <w:t>). The mean level of anphevirus RNA in infected males and females was 8.8x and 1.1x the level of actin mRNA. No mosquitoes in the New Orleans or Vergel colonies tested positive for AeAV by metagenomic sequencing or by RT-qPCR.</w:t>
      </w:r>
    </w:p>
    <w:p w14:paraId="7EA984EB" w14:textId="77777777" w:rsidR="00B37F15" w:rsidRDefault="00000000">
      <w:pPr>
        <w:pStyle w:val="BodyText"/>
      </w:pPr>
      <w:r>
        <w:t>AeAV transmitted efficiently from infected mothers to offspring (</w:t>
      </w:r>
      <w:hyperlink w:anchor="fig-anphe">
        <w:r w:rsidR="00B37F15">
          <w:rPr>
            <w:rStyle w:val="Hyperlink"/>
            <w:b/>
            <w:bCs/>
          </w:rPr>
          <w:t>Figure 1</w:t>
        </w:r>
      </w:hyperlink>
      <w:r>
        <w:t>). 89/96 (93%) of offspring of Poza Rica mothers tested positive for anphevirus RNA. Transmission from infected fathers was less efficient: 49/92 (53%) of offspring of infected fathers tested positive. The mean level of anphevirus RNA in infected offspring was similar for maternal and paternal transmission: 15.0× and 15.1× the level of actin mRNA, respectively. Offspring exhibited a bimodal distribution of anphevirus RNA levels (</w:t>
      </w:r>
      <w:hyperlink w:anchor="fig-anphe">
        <w:r w:rsidR="00B37F15">
          <w:rPr>
            <w:rStyle w:val="Hyperlink"/>
            <w:b/>
            <w:bCs/>
          </w:rPr>
          <w:t>Figure 1</w:t>
        </w:r>
      </w:hyperlink>
      <w:r>
        <w:t>). A subset of positive offspring had relatively high anphevirus RNA levels (higher than actin mRNA levels), and a subset had levels ~1000× lower. Transmission efficiencies were similar in crosses involving uninfected parents from the New Orleans and the Vergel colonies (</w:t>
      </w:r>
      <w:hyperlink w:anchor="fig-anphe">
        <w:r w:rsidR="00B37F15">
          <w:rPr>
            <w:rStyle w:val="Hyperlink"/>
            <w:b/>
            <w:bCs/>
          </w:rPr>
          <w:t>Figure 1</w:t>
        </w:r>
      </w:hyperlink>
      <w:r>
        <w:t>).</w:t>
      </w:r>
    </w:p>
    <w:p w14:paraId="485D1DC9" w14:textId="77777777" w:rsidR="00B37F15" w:rsidRDefault="00000000">
      <w:pPr>
        <w:pStyle w:val="BodyText"/>
      </w:pPr>
      <w:r>
        <w:t>We used logistic regression to model anphevirus transmission (</w:t>
      </w:r>
      <w:hyperlink w:anchor="tbl-anphe-model">
        <w:r w:rsidR="00B37F15">
          <w:rPr>
            <w:rStyle w:val="Hyperlink"/>
            <w:b/>
            <w:bCs/>
          </w:rPr>
          <w:t>Table 2</w:t>
        </w:r>
      </w:hyperlink>
      <w:r>
        <w:t>). Models for vertical transmission contained transmission mode (maternal vs. paternal), uninfected parent colony (New Orleans vs Vergel), and offspring sex as fixed effects. Models that included replicate as a random effect were not significantly better fitting. For vertical transmission, transmission mode was the only significant predictor variable, with offspring more likely to be infected via maternal transmission (p = 5.5×10</w:t>
      </w:r>
      <w:r>
        <w:rPr>
          <w:vertAlign w:val="superscript"/>
        </w:rPr>
        <w:t>-8</w:t>
      </w:r>
      <w:r>
        <w:t xml:space="preserve"> ; </w:t>
      </w:r>
      <w:hyperlink w:anchor="tbl-anphe-model">
        <w:r w:rsidR="00B37F15">
          <w:rPr>
            <w:rStyle w:val="Hyperlink"/>
            <w:b/>
            <w:bCs/>
          </w:rPr>
          <w:t>Table 2</w:t>
        </w:r>
      </w:hyperlink>
      <w:r>
        <w:t>).</w:t>
      </w:r>
    </w:p>
    <w:p w14:paraId="374C8FF2" w14:textId="77777777" w:rsidR="00B37F15" w:rsidRDefault="00000000">
      <w:pPr>
        <w:pStyle w:val="BodyText"/>
      </w:pPr>
      <w:r>
        <w:lastRenderedPageBreak/>
        <w:t>We tested previously uninfected parents after cohabitation and mating with infected parents to assess possible horizontal transmission. 12/48 (25%) of males and 31/48 (65%) of females were positive by RT-qPCR following cohabitation with opposite sex infected mosquitoes (</w:t>
      </w:r>
      <w:hyperlink w:anchor="fig-anphe">
        <w:r w:rsidR="00B37F15">
          <w:rPr>
            <w:rStyle w:val="Hyperlink"/>
            <w:b/>
            <w:bCs/>
          </w:rPr>
          <w:t>Figure 1</w:t>
        </w:r>
      </w:hyperlink>
      <w:r>
        <w:t>). However, levels of AeAV RNA in these mosquitoes were low, on average 0.09× levels of actin mRNA (166× lower than average levels in infected offspring). These positive signals may represent legitimate low-level infection following horizontal transmission or could have resulted from cross-contamination of viral RNA during cohabitation or mating.</w:t>
      </w:r>
    </w:p>
    <w:p w14:paraId="0F3B0E49" w14:textId="77777777" w:rsidR="00B37F15" w:rsidRDefault="00000000">
      <w:pPr>
        <w:pStyle w:val="BodyText"/>
      </w:pPr>
      <w:r>
        <w:t>Models for horizontal transmission included exposed parent colony (New Orleans vs Vergel) and sex as fixed effects. For horizontal transmission, exposed parent sex was the only significant predictor, with females more likely to test postive following exposure to infected fathers (p = 1.6×10</w:t>
      </w:r>
      <w:r>
        <w:rPr>
          <w:vertAlign w:val="superscript"/>
        </w:rPr>
        <w:t>-4</w:t>
      </w:r>
      <w:r>
        <w:t xml:space="preserve"> ; </w:t>
      </w:r>
      <w:hyperlink w:anchor="tbl-anphe-model">
        <w:r w:rsidR="00B37F15">
          <w:rPr>
            <w:rStyle w:val="Hyperlink"/>
            <w:b/>
            <w:bCs/>
          </w:rPr>
          <w:t>Table 2</w:t>
        </w:r>
      </w:hyperlink>
      <w:r>
        <w:t>). The higher prevalence in females may reflect exposure and possible transmission during mating.</w:t>
      </w:r>
    </w:p>
    <w:tbl>
      <w:tblPr>
        <w:tblStyle w:val="Table"/>
        <w:tblW w:w="4900" w:type="pct"/>
        <w:tblLayout w:type="fixed"/>
        <w:tblLook w:val="0000" w:firstRow="0" w:lastRow="0" w:firstColumn="0" w:lastColumn="0" w:noHBand="0" w:noVBand="0"/>
      </w:tblPr>
      <w:tblGrid>
        <w:gridCol w:w="9173"/>
      </w:tblGrid>
      <w:tr w:rsidR="00B37F15" w14:paraId="747E8B04" w14:textId="77777777">
        <w:tc>
          <w:tcPr>
            <w:tcW w:w="7761" w:type="dxa"/>
          </w:tcPr>
          <w:p w14:paraId="679FB20D" w14:textId="77777777" w:rsidR="00B37F15" w:rsidRDefault="00000000">
            <w:pPr>
              <w:jc w:val="center"/>
            </w:pPr>
            <w:bookmarkStart w:id="10" w:name="fig-anphe"/>
            <w:r>
              <w:rPr>
                <w:noProof/>
              </w:rPr>
              <w:drawing>
                <wp:inline distT="0" distB="0" distL="0" distR="0" wp14:anchorId="4A68F2F5" wp14:editId="094687CE">
                  <wp:extent cx="5750355" cy="4494530"/>
                  <wp:effectExtent l="0" t="0" r="3175" b="127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Poza_Rica_x_New_Orleans_Aedes_Anphevirus.png"/>
                          <pic:cNvPicPr>
                            <a:picLocks noChangeAspect="1" noChangeArrowheads="1"/>
                          </pic:cNvPicPr>
                        </pic:nvPicPr>
                        <pic:blipFill>
                          <a:blip r:embed="rId8"/>
                          <a:stretch>
                            <a:fillRect/>
                          </a:stretch>
                        </pic:blipFill>
                        <pic:spPr bwMode="auto">
                          <a:xfrm>
                            <a:off x="0" y="0"/>
                            <a:ext cx="5756746" cy="4499526"/>
                          </a:xfrm>
                          <a:prstGeom prst="rect">
                            <a:avLst/>
                          </a:prstGeom>
                          <a:noFill/>
                          <a:ln w="9525">
                            <a:noFill/>
                            <a:headEnd/>
                            <a:tailEnd/>
                          </a:ln>
                        </pic:spPr>
                      </pic:pic>
                    </a:graphicData>
                  </a:graphic>
                </wp:inline>
              </w:drawing>
            </w:r>
          </w:p>
        </w:tc>
      </w:tr>
    </w:tbl>
    <w:p w14:paraId="35A800AE" w14:textId="77777777" w:rsidR="00B37F15" w:rsidRDefault="00B37F15">
      <w:pPr>
        <w:framePr w:h="0" w:wrap="auto" w:hAnchor="margin" w:xAlign="right" w:yAlign="top"/>
      </w:pPr>
    </w:p>
    <w:tbl>
      <w:tblPr>
        <w:tblStyle w:val="Table"/>
        <w:tblW w:w="4900" w:type="pct"/>
        <w:tblLayout w:type="fixed"/>
        <w:tblLook w:val="0000" w:firstRow="0" w:lastRow="0" w:firstColumn="0" w:lastColumn="0" w:noHBand="0" w:noVBand="0"/>
      </w:tblPr>
      <w:tblGrid>
        <w:gridCol w:w="9173"/>
      </w:tblGrid>
      <w:tr w:rsidR="00B37F15" w14:paraId="665A73A3" w14:textId="77777777">
        <w:tc>
          <w:tcPr>
            <w:tcW w:w="7761" w:type="dxa"/>
          </w:tcPr>
          <w:p w14:paraId="092EE02A" w14:textId="77777777" w:rsidR="00B37F15" w:rsidRDefault="00000000">
            <w:pPr>
              <w:jc w:val="center"/>
            </w:pPr>
            <w:r>
              <w:rPr>
                <w:noProof/>
              </w:rPr>
              <w:lastRenderedPageBreak/>
              <w:drawing>
                <wp:inline distT="0" distB="0" distL="0" distR="0" wp14:anchorId="4E508E9D" wp14:editId="3862E5B4">
                  <wp:extent cx="5805889" cy="4494882"/>
                  <wp:effectExtent l="0" t="0" r="0" b="127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Poza_Rica_x_Vergel_Aedes_Anphevirus.png"/>
                          <pic:cNvPicPr>
                            <a:picLocks noChangeAspect="1" noChangeArrowheads="1"/>
                          </pic:cNvPicPr>
                        </pic:nvPicPr>
                        <pic:blipFill>
                          <a:blip r:embed="rId9"/>
                          <a:stretch>
                            <a:fillRect/>
                          </a:stretch>
                        </pic:blipFill>
                        <pic:spPr bwMode="auto">
                          <a:xfrm>
                            <a:off x="0" y="0"/>
                            <a:ext cx="5811400" cy="4499148"/>
                          </a:xfrm>
                          <a:prstGeom prst="rect">
                            <a:avLst/>
                          </a:prstGeom>
                          <a:noFill/>
                          <a:ln w="9525">
                            <a:noFill/>
                            <a:headEnd/>
                            <a:tailEnd/>
                          </a:ln>
                        </pic:spPr>
                      </pic:pic>
                    </a:graphicData>
                  </a:graphic>
                </wp:inline>
              </w:drawing>
            </w:r>
          </w:p>
        </w:tc>
      </w:tr>
    </w:tbl>
    <w:p w14:paraId="37131FE3" w14:textId="77777777" w:rsidR="00B37F15" w:rsidRDefault="00000000">
      <w:pPr>
        <w:pStyle w:val="ImageCaption"/>
        <w:spacing w:before="200"/>
      </w:pPr>
      <w:r>
        <w:t xml:space="preserve">Figure 1: Prevalence and transmission of </w:t>
      </w:r>
      <w:r>
        <w:rPr>
          <w:iCs/>
        </w:rPr>
        <w:t>Aedes</w:t>
      </w:r>
      <w:r>
        <w:t xml:space="preserve"> anphevirus. Upper panels show prevalence of AeAV in different populations of parental and offspring mosquitoes. Error bars indicate binomial 95% confidence intervals. Lower panels show levels of AeAV RNA detected by RT-qPCR in individual mosquitoes normalized to levels of actin mRNA. Values for uninfected mosquitoes are plotted in grey on the lowest Y axis position. Rep refers to replicate crosses. (A) Crosses between mosquitoes from the Poza Rica colony and the New Orleans colony. (B) Crosses between mosquitoes from the Poza Rica colony and the Vergel colony. The same data for parental Poza Rica is shown in upper and lower panels.</w:t>
      </w:r>
    </w:p>
    <w:bookmarkEnd w:id="10"/>
    <w:p w14:paraId="73BB21FA" w14:textId="77777777" w:rsidR="00B37F15" w:rsidRDefault="00000000">
      <w:pPr>
        <w:pStyle w:val="BodyText"/>
      </w:pPr>
      <w:r>
        <w:t xml:space="preserve"> </w:t>
      </w:r>
    </w:p>
    <w:p w14:paraId="5D308032" w14:textId="77777777" w:rsidR="004D0943" w:rsidRDefault="004D0943">
      <w:bookmarkStart w:id="11" w:name="tbl-anphe-model"/>
      <w:r>
        <w:rPr>
          <w:i/>
        </w:rPr>
        <w:br w:type="page"/>
      </w:r>
    </w:p>
    <w:tbl>
      <w:tblPr>
        <w:tblStyle w:val="Table"/>
        <w:tblW w:w="5000" w:type="pct"/>
        <w:tblLayout w:type="fixed"/>
        <w:tblLook w:val="0000" w:firstRow="0" w:lastRow="0" w:firstColumn="0" w:lastColumn="0" w:noHBand="0" w:noVBand="0"/>
      </w:tblPr>
      <w:tblGrid>
        <w:gridCol w:w="9360"/>
      </w:tblGrid>
      <w:tr w:rsidR="00B37F15" w14:paraId="3A9BC78E" w14:textId="77777777">
        <w:tc>
          <w:tcPr>
            <w:tcW w:w="7920" w:type="dxa"/>
          </w:tcPr>
          <w:p w14:paraId="50359B7D" w14:textId="77777777" w:rsidR="008C0173" w:rsidRPr="0085700F" w:rsidRDefault="008C0173" w:rsidP="008C0173">
            <w:pPr>
              <w:pStyle w:val="BodyText"/>
              <w:rPr>
                <w:b/>
                <w:bCs/>
              </w:rPr>
            </w:pPr>
            <w:r w:rsidRPr="0085700F">
              <w:rPr>
                <w:b/>
                <w:bCs/>
              </w:rPr>
              <w:lastRenderedPageBreak/>
              <w:t>Table 2: Logistic regression model of anphevirus transmission.</w:t>
            </w:r>
          </w:p>
          <w:tbl>
            <w:tblPr>
              <w:tblW w:w="0" w:type="auto"/>
              <w:tblCellMar>
                <w:top w:w="15" w:type="dxa"/>
                <w:left w:w="15" w:type="dxa"/>
                <w:bottom w:w="15" w:type="dxa"/>
                <w:right w:w="15" w:type="dxa"/>
              </w:tblCellMar>
              <w:tblLook w:val="04A0" w:firstRow="1" w:lastRow="0" w:firstColumn="1" w:lastColumn="0" w:noHBand="0" w:noVBand="1"/>
            </w:tblPr>
            <w:tblGrid>
              <w:gridCol w:w="2858"/>
              <w:gridCol w:w="1009"/>
              <w:gridCol w:w="1426"/>
              <w:gridCol w:w="903"/>
              <w:gridCol w:w="955"/>
              <w:gridCol w:w="1306"/>
              <w:gridCol w:w="903"/>
            </w:tblGrid>
            <w:tr w:rsidR="008C0173" w:rsidRPr="005978AF" w14:paraId="0F849151" w14:textId="77777777" w:rsidTr="00A24CD6">
              <w:tc>
                <w:tcPr>
                  <w:tcW w:w="2858" w:type="dxa"/>
                  <w:tcBorders>
                    <w:top w:val="single" w:sz="4" w:space="0" w:color="auto"/>
                    <w:left w:val="single" w:sz="4" w:space="0" w:color="auto"/>
                  </w:tcBorders>
                  <w:tcMar>
                    <w:top w:w="113" w:type="dxa"/>
                    <w:left w:w="113" w:type="dxa"/>
                    <w:bottom w:w="113" w:type="dxa"/>
                    <w:right w:w="113" w:type="dxa"/>
                  </w:tcMar>
                  <w:vAlign w:val="center"/>
                  <w:hideMark/>
                </w:tcPr>
                <w:p w14:paraId="339AF628" w14:textId="77777777" w:rsidR="008C0173" w:rsidRPr="0085700F" w:rsidRDefault="008C0173" w:rsidP="008C0173">
                  <w:pPr>
                    <w:spacing w:after="0" w:line="240" w:lineRule="auto"/>
                    <w:jc w:val="center"/>
                    <w:rPr>
                      <w:rFonts w:eastAsia="Times New Roman" w:cs="Arial"/>
                      <w:b/>
                      <w:bCs/>
                      <w:sz w:val="22"/>
                      <w:szCs w:val="22"/>
                    </w:rPr>
                  </w:pPr>
                </w:p>
              </w:tc>
              <w:tc>
                <w:tcPr>
                  <w:tcW w:w="3338" w:type="dxa"/>
                  <w:gridSpan w:val="3"/>
                  <w:tcBorders>
                    <w:top w:val="single" w:sz="4" w:space="0" w:color="auto"/>
                    <w:right w:val="dotted" w:sz="4" w:space="0" w:color="auto"/>
                  </w:tcBorders>
                  <w:tcMar>
                    <w:top w:w="113" w:type="dxa"/>
                    <w:left w:w="113" w:type="dxa"/>
                    <w:bottom w:w="113" w:type="dxa"/>
                    <w:right w:w="113" w:type="dxa"/>
                  </w:tcMar>
                  <w:vAlign w:val="center"/>
                  <w:hideMark/>
                </w:tcPr>
                <w:p w14:paraId="5AE23E03" w14:textId="77777777" w:rsidR="008C0173" w:rsidRPr="0085700F" w:rsidRDefault="008C0173" w:rsidP="008C0173">
                  <w:pPr>
                    <w:spacing w:after="0" w:line="240" w:lineRule="auto"/>
                    <w:jc w:val="center"/>
                    <w:rPr>
                      <w:rFonts w:eastAsia="Times New Roman" w:cs="Arial"/>
                      <w:b/>
                      <w:bCs/>
                      <w:sz w:val="22"/>
                      <w:szCs w:val="22"/>
                    </w:rPr>
                  </w:pPr>
                  <w:r w:rsidRPr="0085700F">
                    <w:rPr>
                      <w:rFonts w:eastAsia="Times New Roman" w:cs="Arial"/>
                      <w:b/>
                      <w:bCs/>
                      <w:sz w:val="22"/>
                      <w:szCs w:val="22"/>
                    </w:rPr>
                    <w:t>Vertical transmission</w:t>
                  </w:r>
                </w:p>
              </w:tc>
              <w:tc>
                <w:tcPr>
                  <w:tcW w:w="3164" w:type="dxa"/>
                  <w:gridSpan w:val="3"/>
                  <w:tcBorders>
                    <w:top w:val="single" w:sz="4" w:space="0" w:color="auto"/>
                    <w:left w:val="dotted" w:sz="4" w:space="0" w:color="auto"/>
                    <w:right w:val="single" w:sz="4" w:space="0" w:color="auto"/>
                  </w:tcBorders>
                  <w:tcMar>
                    <w:top w:w="113" w:type="dxa"/>
                    <w:left w:w="113" w:type="dxa"/>
                    <w:bottom w:w="113" w:type="dxa"/>
                    <w:right w:w="113" w:type="dxa"/>
                  </w:tcMar>
                  <w:vAlign w:val="center"/>
                  <w:hideMark/>
                </w:tcPr>
                <w:p w14:paraId="3471DEFE" w14:textId="77777777" w:rsidR="008C0173" w:rsidRPr="0085700F" w:rsidRDefault="008C0173" w:rsidP="008C0173">
                  <w:pPr>
                    <w:spacing w:after="0" w:line="240" w:lineRule="auto"/>
                    <w:jc w:val="center"/>
                    <w:rPr>
                      <w:rFonts w:eastAsia="Times New Roman" w:cs="Arial"/>
                      <w:b/>
                      <w:bCs/>
                      <w:sz w:val="22"/>
                      <w:szCs w:val="22"/>
                    </w:rPr>
                  </w:pPr>
                  <w:r w:rsidRPr="0085700F">
                    <w:rPr>
                      <w:rFonts w:eastAsia="Times New Roman" w:cs="Arial"/>
                      <w:b/>
                      <w:bCs/>
                      <w:sz w:val="22"/>
                      <w:szCs w:val="22"/>
                    </w:rPr>
                    <w:t>Horizontal transmission</w:t>
                  </w:r>
                </w:p>
              </w:tc>
            </w:tr>
            <w:tr w:rsidR="008C0173" w:rsidRPr="005978AF" w14:paraId="754B7E55" w14:textId="77777777" w:rsidTr="00A24CD6">
              <w:tc>
                <w:tcPr>
                  <w:tcW w:w="2858" w:type="dxa"/>
                  <w:tcBorders>
                    <w:left w:val="single" w:sz="4" w:space="0" w:color="auto"/>
                    <w:bottom w:val="single" w:sz="6" w:space="0" w:color="auto"/>
                    <w:right w:val="dotted" w:sz="4" w:space="0" w:color="auto"/>
                  </w:tcBorders>
                  <w:vAlign w:val="center"/>
                  <w:hideMark/>
                </w:tcPr>
                <w:p w14:paraId="6BC77823"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Predictors</w:t>
                  </w:r>
                </w:p>
              </w:tc>
              <w:tc>
                <w:tcPr>
                  <w:tcW w:w="1009" w:type="dxa"/>
                  <w:tcBorders>
                    <w:left w:val="dotted" w:sz="4" w:space="0" w:color="auto"/>
                    <w:bottom w:val="single" w:sz="6" w:space="0" w:color="auto"/>
                    <w:right w:val="dotted" w:sz="4" w:space="0" w:color="auto"/>
                  </w:tcBorders>
                  <w:vAlign w:val="center"/>
                  <w:hideMark/>
                </w:tcPr>
                <w:p w14:paraId="5E58BAE4"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Odds Ratios</w:t>
                  </w:r>
                </w:p>
              </w:tc>
              <w:tc>
                <w:tcPr>
                  <w:tcW w:w="1426" w:type="dxa"/>
                  <w:tcBorders>
                    <w:left w:val="dotted" w:sz="4" w:space="0" w:color="auto"/>
                    <w:bottom w:val="single" w:sz="6" w:space="0" w:color="auto"/>
                    <w:right w:val="dotted" w:sz="4" w:space="0" w:color="auto"/>
                  </w:tcBorders>
                  <w:vAlign w:val="center"/>
                  <w:hideMark/>
                </w:tcPr>
                <w:p w14:paraId="0D06B77D"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CI</w:t>
                  </w:r>
                </w:p>
              </w:tc>
              <w:tc>
                <w:tcPr>
                  <w:tcW w:w="903" w:type="dxa"/>
                  <w:tcBorders>
                    <w:left w:val="dotted" w:sz="4" w:space="0" w:color="auto"/>
                    <w:bottom w:val="single" w:sz="6" w:space="0" w:color="auto"/>
                    <w:right w:val="dotted" w:sz="4" w:space="0" w:color="auto"/>
                  </w:tcBorders>
                  <w:vAlign w:val="center"/>
                  <w:hideMark/>
                </w:tcPr>
                <w:p w14:paraId="55B9F726"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p</w:t>
                  </w:r>
                </w:p>
              </w:tc>
              <w:tc>
                <w:tcPr>
                  <w:tcW w:w="955" w:type="dxa"/>
                  <w:tcBorders>
                    <w:left w:val="dotted" w:sz="4" w:space="0" w:color="auto"/>
                    <w:bottom w:val="single" w:sz="6" w:space="0" w:color="auto"/>
                    <w:right w:val="dotted" w:sz="4" w:space="0" w:color="auto"/>
                  </w:tcBorders>
                  <w:vAlign w:val="center"/>
                  <w:hideMark/>
                </w:tcPr>
                <w:p w14:paraId="5A4B443F"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Odds Ratios</w:t>
                  </w:r>
                </w:p>
              </w:tc>
              <w:tc>
                <w:tcPr>
                  <w:tcW w:w="1306" w:type="dxa"/>
                  <w:tcBorders>
                    <w:left w:val="dotted" w:sz="4" w:space="0" w:color="auto"/>
                    <w:bottom w:val="single" w:sz="6" w:space="0" w:color="auto"/>
                    <w:right w:val="dotted" w:sz="4" w:space="0" w:color="auto"/>
                  </w:tcBorders>
                  <w:vAlign w:val="center"/>
                  <w:hideMark/>
                </w:tcPr>
                <w:p w14:paraId="1485FDC1"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CI</w:t>
                  </w:r>
                </w:p>
              </w:tc>
              <w:tc>
                <w:tcPr>
                  <w:tcW w:w="903" w:type="dxa"/>
                  <w:tcBorders>
                    <w:left w:val="dotted" w:sz="4" w:space="0" w:color="auto"/>
                    <w:bottom w:val="single" w:sz="6" w:space="0" w:color="auto"/>
                    <w:right w:val="single" w:sz="4" w:space="0" w:color="auto"/>
                  </w:tcBorders>
                  <w:vAlign w:val="center"/>
                  <w:hideMark/>
                </w:tcPr>
                <w:p w14:paraId="736498EC"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p</w:t>
                  </w:r>
                </w:p>
              </w:tc>
            </w:tr>
            <w:tr w:rsidR="008C0173" w:rsidRPr="005978AF" w14:paraId="72B2D11B" w14:textId="77777777" w:rsidTr="00A24CD6">
              <w:tc>
                <w:tcPr>
                  <w:tcW w:w="2858" w:type="dxa"/>
                  <w:tcBorders>
                    <w:top w:val="single" w:sz="6"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6C3A7298"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(Intercept)</w:t>
                  </w:r>
                </w:p>
              </w:tc>
              <w:tc>
                <w:tcPr>
                  <w:tcW w:w="1009" w:type="dxa"/>
                  <w:tcBorders>
                    <w:top w:val="single" w:sz="6"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94B2AD4"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13.92</w:t>
                  </w:r>
                </w:p>
              </w:tc>
              <w:tc>
                <w:tcPr>
                  <w:tcW w:w="1426" w:type="dxa"/>
                  <w:tcBorders>
                    <w:top w:val="single" w:sz="6"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73B6D95C"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5.84 – 38.66</w:t>
                  </w:r>
                </w:p>
              </w:tc>
              <w:tc>
                <w:tcPr>
                  <w:tcW w:w="903" w:type="dxa"/>
                  <w:tcBorders>
                    <w:top w:val="single" w:sz="6"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48BD902A" w14:textId="77777777" w:rsidR="008C0173" w:rsidRPr="0085700F" w:rsidRDefault="008C0173" w:rsidP="008C0173">
                  <w:pPr>
                    <w:spacing w:after="0" w:line="240" w:lineRule="auto"/>
                    <w:jc w:val="center"/>
                    <w:rPr>
                      <w:rFonts w:eastAsia="Times New Roman" w:cs="Arial"/>
                      <w:b/>
                      <w:bCs/>
                      <w:sz w:val="22"/>
                      <w:szCs w:val="22"/>
                    </w:rPr>
                  </w:pPr>
                  <w:r w:rsidRPr="0085700F">
                    <w:rPr>
                      <w:rFonts w:eastAsia="Times New Roman"/>
                      <w:b/>
                      <w:bCs/>
                    </w:rPr>
                    <w:t>&lt;0.001</w:t>
                  </w:r>
                </w:p>
              </w:tc>
              <w:tc>
                <w:tcPr>
                  <w:tcW w:w="955" w:type="dxa"/>
                  <w:tcBorders>
                    <w:top w:val="single" w:sz="6"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B506AC2"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1.92</w:t>
                  </w:r>
                </w:p>
              </w:tc>
              <w:tc>
                <w:tcPr>
                  <w:tcW w:w="1306" w:type="dxa"/>
                  <w:tcBorders>
                    <w:top w:val="single" w:sz="6"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471C639A"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0.93 – 4.14</w:t>
                  </w:r>
                </w:p>
              </w:tc>
              <w:tc>
                <w:tcPr>
                  <w:tcW w:w="903" w:type="dxa"/>
                  <w:tcBorders>
                    <w:top w:val="single" w:sz="6"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2725DD98"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0.085</w:t>
                  </w:r>
                </w:p>
              </w:tc>
            </w:tr>
            <w:tr w:rsidR="008C0173" w:rsidRPr="005978AF" w14:paraId="00817557" w14:textId="77777777" w:rsidTr="00A24CD6">
              <w:tc>
                <w:tcPr>
                  <w:tcW w:w="285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510CDE30"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Offspring or exposed parent sex [male]</w:t>
                  </w:r>
                </w:p>
              </w:tc>
              <w:tc>
                <w:tcPr>
                  <w:tcW w:w="1009"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75B4A822"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1.33</w:t>
                  </w:r>
                </w:p>
              </w:tc>
              <w:tc>
                <w:tcPr>
                  <w:tcW w:w="142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EA3123E"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0.64 – 2.78</w:t>
                  </w:r>
                </w:p>
              </w:tc>
              <w:tc>
                <w:tcPr>
                  <w:tcW w:w="90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40FFB1F6"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0.444</w:t>
                  </w:r>
                </w:p>
              </w:tc>
              <w:tc>
                <w:tcPr>
                  <w:tcW w:w="955"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C5AF140"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0.18</w:t>
                  </w:r>
                </w:p>
              </w:tc>
              <w:tc>
                <w:tcPr>
                  <w:tcW w:w="13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37E5F7A5"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0.07 – 0.43</w:t>
                  </w:r>
                </w:p>
              </w:tc>
              <w:tc>
                <w:tcPr>
                  <w:tcW w:w="903"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0C5A5527" w14:textId="77777777" w:rsidR="008C0173" w:rsidRPr="0085700F" w:rsidRDefault="008C0173" w:rsidP="008C0173">
                  <w:pPr>
                    <w:spacing w:after="0" w:line="240" w:lineRule="auto"/>
                    <w:jc w:val="center"/>
                    <w:rPr>
                      <w:rFonts w:eastAsia="Times New Roman" w:cs="Arial"/>
                      <w:b/>
                      <w:bCs/>
                      <w:sz w:val="22"/>
                      <w:szCs w:val="22"/>
                    </w:rPr>
                  </w:pPr>
                  <w:r w:rsidRPr="0085700F">
                    <w:rPr>
                      <w:rFonts w:eastAsia="Times New Roman"/>
                      <w:b/>
                      <w:bCs/>
                    </w:rPr>
                    <w:t>&lt;0.001</w:t>
                  </w:r>
                </w:p>
              </w:tc>
            </w:tr>
            <w:tr w:rsidR="008C0173" w:rsidRPr="005978AF" w14:paraId="4469D97F" w14:textId="77777777" w:rsidTr="00A24CD6">
              <w:tc>
                <w:tcPr>
                  <w:tcW w:w="285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017F389E"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Non-infected parent colony [Vergel]</w:t>
                  </w:r>
                </w:p>
              </w:tc>
              <w:tc>
                <w:tcPr>
                  <w:tcW w:w="1009"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08ABA6BF"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0.66</w:t>
                  </w:r>
                </w:p>
              </w:tc>
              <w:tc>
                <w:tcPr>
                  <w:tcW w:w="142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3C28A5D8"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0.32 – 1.37</w:t>
                  </w:r>
                </w:p>
              </w:tc>
              <w:tc>
                <w:tcPr>
                  <w:tcW w:w="90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7E6F205C"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0.269</w:t>
                  </w:r>
                </w:p>
              </w:tc>
              <w:tc>
                <w:tcPr>
                  <w:tcW w:w="955"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083968CE"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0.90</w:t>
                  </w:r>
                </w:p>
              </w:tc>
              <w:tc>
                <w:tcPr>
                  <w:tcW w:w="13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D765239"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0.37 – 2.18</w:t>
                  </w:r>
                </w:p>
              </w:tc>
              <w:tc>
                <w:tcPr>
                  <w:tcW w:w="903"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5F3D0EB3"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0.823</w:t>
                  </w:r>
                </w:p>
              </w:tc>
            </w:tr>
            <w:tr w:rsidR="008C0173" w:rsidRPr="005978AF" w14:paraId="0FBEB8FD" w14:textId="77777777" w:rsidTr="00A24CD6">
              <w:tc>
                <w:tcPr>
                  <w:tcW w:w="2858" w:type="dxa"/>
                  <w:tcBorders>
                    <w:top w:val="dotted" w:sz="4" w:space="0" w:color="auto"/>
                    <w:left w:val="single" w:sz="4" w:space="0" w:color="auto"/>
                    <w:bottom w:val="single" w:sz="6" w:space="0" w:color="auto"/>
                    <w:right w:val="dotted" w:sz="4" w:space="0" w:color="auto"/>
                  </w:tcBorders>
                  <w:tcMar>
                    <w:top w:w="113" w:type="dxa"/>
                    <w:left w:w="113" w:type="dxa"/>
                    <w:bottom w:w="113" w:type="dxa"/>
                    <w:right w:w="113" w:type="dxa"/>
                  </w:tcMar>
                  <w:hideMark/>
                </w:tcPr>
                <w:p w14:paraId="2BC9A944"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Vertical transmission mode [paternal]</w:t>
                  </w:r>
                </w:p>
              </w:tc>
              <w:tc>
                <w:tcPr>
                  <w:tcW w:w="1009" w:type="dxa"/>
                  <w:tcBorders>
                    <w:top w:val="dotted" w:sz="4" w:space="0" w:color="auto"/>
                    <w:left w:val="dotted" w:sz="4" w:space="0" w:color="auto"/>
                    <w:bottom w:val="single" w:sz="6" w:space="0" w:color="auto"/>
                    <w:right w:val="dotted" w:sz="4" w:space="0" w:color="auto"/>
                  </w:tcBorders>
                  <w:tcMar>
                    <w:top w:w="113" w:type="dxa"/>
                    <w:left w:w="113" w:type="dxa"/>
                    <w:bottom w:w="113" w:type="dxa"/>
                    <w:right w:w="113" w:type="dxa"/>
                  </w:tcMar>
                  <w:hideMark/>
                </w:tcPr>
                <w:p w14:paraId="726F5E28"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0.09</w:t>
                  </w:r>
                </w:p>
              </w:tc>
              <w:tc>
                <w:tcPr>
                  <w:tcW w:w="1426" w:type="dxa"/>
                  <w:tcBorders>
                    <w:top w:val="dotted" w:sz="4" w:space="0" w:color="auto"/>
                    <w:left w:val="dotted" w:sz="4" w:space="0" w:color="auto"/>
                    <w:bottom w:val="single" w:sz="6" w:space="0" w:color="auto"/>
                    <w:right w:val="dotted" w:sz="4" w:space="0" w:color="auto"/>
                  </w:tcBorders>
                  <w:tcMar>
                    <w:top w:w="113" w:type="dxa"/>
                    <w:left w:w="113" w:type="dxa"/>
                    <w:bottom w:w="113" w:type="dxa"/>
                    <w:right w:w="113" w:type="dxa"/>
                  </w:tcMar>
                  <w:hideMark/>
                </w:tcPr>
                <w:p w14:paraId="357C172C"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0.03 – 0.20</w:t>
                  </w:r>
                </w:p>
              </w:tc>
              <w:tc>
                <w:tcPr>
                  <w:tcW w:w="903" w:type="dxa"/>
                  <w:tcBorders>
                    <w:top w:val="dotted" w:sz="4" w:space="0" w:color="auto"/>
                    <w:left w:val="dotted" w:sz="4" w:space="0" w:color="auto"/>
                    <w:bottom w:val="single" w:sz="6" w:space="0" w:color="auto"/>
                    <w:right w:val="dotted" w:sz="4" w:space="0" w:color="auto"/>
                  </w:tcBorders>
                  <w:tcMar>
                    <w:top w:w="113" w:type="dxa"/>
                    <w:left w:w="113" w:type="dxa"/>
                    <w:bottom w:w="113" w:type="dxa"/>
                    <w:right w:w="113" w:type="dxa"/>
                  </w:tcMar>
                  <w:hideMark/>
                </w:tcPr>
                <w:p w14:paraId="7491C960" w14:textId="77777777" w:rsidR="008C0173" w:rsidRPr="0085700F" w:rsidRDefault="008C0173" w:rsidP="008C0173">
                  <w:pPr>
                    <w:spacing w:after="0" w:line="240" w:lineRule="auto"/>
                    <w:jc w:val="center"/>
                    <w:rPr>
                      <w:rFonts w:eastAsia="Times New Roman" w:cs="Arial"/>
                      <w:b/>
                      <w:bCs/>
                      <w:sz w:val="22"/>
                      <w:szCs w:val="22"/>
                    </w:rPr>
                  </w:pPr>
                  <w:r w:rsidRPr="0085700F">
                    <w:rPr>
                      <w:rFonts w:eastAsia="Times New Roman"/>
                      <w:b/>
                      <w:bCs/>
                    </w:rPr>
                    <w:t>&lt;0.001</w:t>
                  </w:r>
                </w:p>
              </w:tc>
              <w:tc>
                <w:tcPr>
                  <w:tcW w:w="955" w:type="dxa"/>
                  <w:tcBorders>
                    <w:top w:val="dotted" w:sz="4" w:space="0" w:color="auto"/>
                    <w:left w:val="dotted" w:sz="4" w:space="0" w:color="auto"/>
                    <w:bottom w:val="single" w:sz="6" w:space="0" w:color="auto"/>
                    <w:right w:val="dotted" w:sz="4" w:space="0" w:color="auto"/>
                  </w:tcBorders>
                  <w:tcMar>
                    <w:top w:w="113" w:type="dxa"/>
                    <w:left w:w="113" w:type="dxa"/>
                    <w:bottom w:w="113" w:type="dxa"/>
                    <w:right w:w="113" w:type="dxa"/>
                  </w:tcMar>
                  <w:hideMark/>
                </w:tcPr>
                <w:p w14:paraId="17E75247" w14:textId="77777777" w:rsidR="008C0173" w:rsidRPr="0085700F" w:rsidRDefault="008C0173" w:rsidP="008C0173">
                  <w:pPr>
                    <w:spacing w:after="0" w:line="240" w:lineRule="auto"/>
                    <w:jc w:val="center"/>
                    <w:rPr>
                      <w:rFonts w:eastAsia="Times New Roman" w:cs="Arial"/>
                      <w:sz w:val="22"/>
                      <w:szCs w:val="22"/>
                    </w:rPr>
                  </w:pPr>
                </w:p>
              </w:tc>
              <w:tc>
                <w:tcPr>
                  <w:tcW w:w="1306" w:type="dxa"/>
                  <w:tcBorders>
                    <w:top w:val="dotted" w:sz="4" w:space="0" w:color="auto"/>
                    <w:left w:val="dotted" w:sz="4" w:space="0" w:color="auto"/>
                    <w:bottom w:val="single" w:sz="6" w:space="0" w:color="auto"/>
                    <w:right w:val="dotted" w:sz="4" w:space="0" w:color="auto"/>
                  </w:tcBorders>
                  <w:tcMar>
                    <w:top w:w="113" w:type="dxa"/>
                    <w:left w:w="113" w:type="dxa"/>
                    <w:bottom w:w="113" w:type="dxa"/>
                    <w:right w:w="113" w:type="dxa"/>
                  </w:tcMar>
                  <w:hideMark/>
                </w:tcPr>
                <w:p w14:paraId="204C1E93" w14:textId="77777777" w:rsidR="008C0173" w:rsidRPr="0085700F" w:rsidRDefault="008C0173" w:rsidP="008C0173">
                  <w:pPr>
                    <w:spacing w:after="0" w:line="240" w:lineRule="auto"/>
                    <w:jc w:val="center"/>
                    <w:rPr>
                      <w:rFonts w:eastAsia="Times New Roman" w:cs="Arial"/>
                      <w:sz w:val="22"/>
                      <w:szCs w:val="22"/>
                    </w:rPr>
                  </w:pPr>
                </w:p>
              </w:tc>
              <w:tc>
                <w:tcPr>
                  <w:tcW w:w="903" w:type="dxa"/>
                  <w:tcBorders>
                    <w:top w:val="dotted" w:sz="4" w:space="0" w:color="auto"/>
                    <w:left w:val="dotted" w:sz="4" w:space="0" w:color="auto"/>
                    <w:bottom w:val="single" w:sz="6" w:space="0" w:color="auto"/>
                    <w:right w:val="single" w:sz="4" w:space="0" w:color="auto"/>
                  </w:tcBorders>
                  <w:tcMar>
                    <w:top w:w="113" w:type="dxa"/>
                    <w:left w:w="113" w:type="dxa"/>
                    <w:bottom w:w="113" w:type="dxa"/>
                    <w:right w:w="113" w:type="dxa"/>
                  </w:tcMar>
                  <w:hideMark/>
                </w:tcPr>
                <w:p w14:paraId="233DAA65" w14:textId="77777777" w:rsidR="008C0173" w:rsidRPr="0085700F" w:rsidRDefault="008C0173" w:rsidP="008C0173">
                  <w:pPr>
                    <w:spacing w:after="0" w:line="240" w:lineRule="auto"/>
                    <w:jc w:val="center"/>
                    <w:rPr>
                      <w:rFonts w:eastAsia="Times New Roman" w:cs="Arial"/>
                      <w:sz w:val="22"/>
                      <w:szCs w:val="22"/>
                    </w:rPr>
                  </w:pPr>
                </w:p>
              </w:tc>
            </w:tr>
            <w:tr w:rsidR="008C0173" w:rsidRPr="005978AF" w14:paraId="2438526D" w14:textId="77777777" w:rsidTr="00A24CD6">
              <w:tc>
                <w:tcPr>
                  <w:tcW w:w="2858" w:type="dxa"/>
                  <w:tcBorders>
                    <w:top w:val="single" w:sz="6" w:space="0" w:color="auto"/>
                    <w:left w:val="single" w:sz="4" w:space="0" w:color="auto"/>
                    <w:bottom w:val="dotted" w:sz="4" w:space="0" w:color="auto"/>
                    <w:right w:val="dotted" w:sz="4" w:space="0" w:color="auto"/>
                  </w:tcBorders>
                  <w:tcMar>
                    <w:top w:w="57" w:type="dxa"/>
                    <w:left w:w="113" w:type="dxa"/>
                    <w:bottom w:w="57" w:type="dxa"/>
                    <w:right w:w="113" w:type="dxa"/>
                  </w:tcMar>
                  <w:hideMark/>
                </w:tcPr>
                <w:p w14:paraId="22CB82A6"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Observations</w:t>
                  </w:r>
                </w:p>
              </w:tc>
              <w:tc>
                <w:tcPr>
                  <w:tcW w:w="3338" w:type="dxa"/>
                  <w:gridSpan w:val="3"/>
                  <w:tcBorders>
                    <w:top w:val="single" w:sz="6" w:space="0" w:color="auto"/>
                    <w:left w:val="dotted" w:sz="4" w:space="0" w:color="auto"/>
                    <w:bottom w:val="dotted" w:sz="4" w:space="0" w:color="auto"/>
                    <w:right w:val="dotted" w:sz="4" w:space="0" w:color="auto"/>
                  </w:tcBorders>
                  <w:tcMar>
                    <w:top w:w="57" w:type="dxa"/>
                    <w:left w:w="113" w:type="dxa"/>
                    <w:bottom w:w="57" w:type="dxa"/>
                    <w:right w:w="113" w:type="dxa"/>
                  </w:tcMar>
                  <w:hideMark/>
                </w:tcPr>
                <w:p w14:paraId="745FF1BE"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188</w:t>
                  </w:r>
                </w:p>
              </w:tc>
              <w:tc>
                <w:tcPr>
                  <w:tcW w:w="3164" w:type="dxa"/>
                  <w:gridSpan w:val="3"/>
                  <w:tcBorders>
                    <w:top w:val="single" w:sz="6" w:space="0" w:color="auto"/>
                    <w:left w:val="dotted" w:sz="4" w:space="0" w:color="auto"/>
                    <w:bottom w:val="dotted" w:sz="4" w:space="0" w:color="auto"/>
                    <w:right w:val="single" w:sz="4" w:space="0" w:color="auto"/>
                  </w:tcBorders>
                  <w:tcMar>
                    <w:top w:w="57" w:type="dxa"/>
                    <w:left w:w="113" w:type="dxa"/>
                    <w:bottom w:w="57" w:type="dxa"/>
                    <w:right w:w="113" w:type="dxa"/>
                  </w:tcMar>
                  <w:hideMark/>
                </w:tcPr>
                <w:p w14:paraId="1FCA0541"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96</w:t>
                  </w:r>
                </w:p>
              </w:tc>
            </w:tr>
            <w:tr w:rsidR="008C0173" w:rsidRPr="005978AF" w14:paraId="7030EAEA" w14:textId="77777777" w:rsidTr="00A24CD6">
              <w:tc>
                <w:tcPr>
                  <w:tcW w:w="2858" w:type="dxa"/>
                  <w:tcBorders>
                    <w:top w:val="dotted" w:sz="4" w:space="0" w:color="auto"/>
                    <w:left w:val="single" w:sz="4" w:space="0" w:color="auto"/>
                    <w:bottom w:val="dotted" w:sz="4" w:space="0" w:color="auto"/>
                    <w:right w:val="dotted" w:sz="4" w:space="0" w:color="auto"/>
                  </w:tcBorders>
                  <w:tcMar>
                    <w:top w:w="57" w:type="dxa"/>
                    <w:left w:w="113" w:type="dxa"/>
                    <w:bottom w:w="57" w:type="dxa"/>
                    <w:right w:w="113" w:type="dxa"/>
                  </w:tcMar>
                  <w:hideMark/>
                </w:tcPr>
                <w:p w14:paraId="1FBEE1D6"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R2 Tjur</w:t>
                  </w:r>
                </w:p>
              </w:tc>
              <w:tc>
                <w:tcPr>
                  <w:tcW w:w="3338" w:type="dxa"/>
                  <w:gridSpan w:val="3"/>
                  <w:tcBorders>
                    <w:top w:val="dotted" w:sz="4" w:space="0" w:color="auto"/>
                    <w:left w:val="dotted" w:sz="4" w:space="0" w:color="auto"/>
                    <w:bottom w:val="dotted" w:sz="4" w:space="0" w:color="auto"/>
                    <w:right w:val="dotted" w:sz="4" w:space="0" w:color="auto"/>
                  </w:tcBorders>
                  <w:tcMar>
                    <w:top w:w="57" w:type="dxa"/>
                    <w:left w:w="113" w:type="dxa"/>
                    <w:bottom w:w="57" w:type="dxa"/>
                    <w:right w:w="113" w:type="dxa"/>
                  </w:tcMar>
                  <w:hideMark/>
                </w:tcPr>
                <w:p w14:paraId="78EA9818"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0.208</w:t>
                  </w:r>
                </w:p>
              </w:tc>
              <w:tc>
                <w:tcPr>
                  <w:tcW w:w="3164" w:type="dxa"/>
                  <w:gridSpan w:val="3"/>
                  <w:tcBorders>
                    <w:top w:val="dotted" w:sz="4" w:space="0" w:color="auto"/>
                    <w:left w:val="dotted" w:sz="4" w:space="0" w:color="auto"/>
                    <w:bottom w:val="dotted" w:sz="4" w:space="0" w:color="auto"/>
                    <w:right w:val="single" w:sz="4" w:space="0" w:color="auto"/>
                  </w:tcBorders>
                  <w:tcMar>
                    <w:top w:w="57" w:type="dxa"/>
                    <w:left w:w="113" w:type="dxa"/>
                    <w:bottom w:w="57" w:type="dxa"/>
                    <w:right w:w="113" w:type="dxa"/>
                  </w:tcMar>
                  <w:hideMark/>
                </w:tcPr>
                <w:p w14:paraId="5AD9CA40"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0.159</w:t>
                  </w:r>
                </w:p>
              </w:tc>
            </w:tr>
            <w:tr w:rsidR="008C0173" w:rsidRPr="005978AF" w14:paraId="2F4A6CD1" w14:textId="77777777" w:rsidTr="00A24CD6">
              <w:tc>
                <w:tcPr>
                  <w:tcW w:w="2858" w:type="dxa"/>
                  <w:tcBorders>
                    <w:top w:val="dotted" w:sz="4" w:space="0" w:color="auto"/>
                    <w:left w:val="single" w:sz="4" w:space="0" w:color="auto"/>
                    <w:bottom w:val="single" w:sz="4" w:space="0" w:color="auto"/>
                    <w:right w:val="dotted" w:sz="4" w:space="0" w:color="auto"/>
                  </w:tcBorders>
                  <w:tcMar>
                    <w:top w:w="57" w:type="dxa"/>
                    <w:left w:w="113" w:type="dxa"/>
                    <w:bottom w:w="57" w:type="dxa"/>
                    <w:right w:w="113" w:type="dxa"/>
                  </w:tcMar>
                  <w:hideMark/>
                </w:tcPr>
                <w:p w14:paraId="1FB101E7"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AIC</w:t>
                  </w:r>
                </w:p>
              </w:tc>
              <w:tc>
                <w:tcPr>
                  <w:tcW w:w="3338" w:type="dxa"/>
                  <w:gridSpan w:val="3"/>
                  <w:tcBorders>
                    <w:top w:val="dotted" w:sz="4" w:space="0" w:color="auto"/>
                    <w:left w:val="dotted" w:sz="4" w:space="0" w:color="auto"/>
                    <w:bottom w:val="single" w:sz="4" w:space="0" w:color="auto"/>
                    <w:right w:val="dotted" w:sz="4" w:space="0" w:color="auto"/>
                  </w:tcBorders>
                  <w:tcMar>
                    <w:top w:w="57" w:type="dxa"/>
                    <w:left w:w="113" w:type="dxa"/>
                    <w:bottom w:w="57" w:type="dxa"/>
                    <w:right w:w="113" w:type="dxa"/>
                  </w:tcMar>
                  <w:hideMark/>
                </w:tcPr>
                <w:p w14:paraId="64A2CE29"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183.467</w:t>
                  </w:r>
                </w:p>
              </w:tc>
              <w:tc>
                <w:tcPr>
                  <w:tcW w:w="3164" w:type="dxa"/>
                  <w:gridSpan w:val="3"/>
                  <w:tcBorders>
                    <w:top w:val="dotted" w:sz="4" w:space="0" w:color="auto"/>
                    <w:left w:val="dotted" w:sz="4" w:space="0" w:color="auto"/>
                    <w:bottom w:val="single" w:sz="4" w:space="0" w:color="auto"/>
                    <w:right w:val="single" w:sz="4" w:space="0" w:color="auto"/>
                  </w:tcBorders>
                  <w:tcMar>
                    <w:top w:w="57" w:type="dxa"/>
                    <w:left w:w="113" w:type="dxa"/>
                    <w:bottom w:w="57" w:type="dxa"/>
                    <w:right w:w="113" w:type="dxa"/>
                  </w:tcMar>
                  <w:hideMark/>
                </w:tcPr>
                <w:p w14:paraId="54CBF387" w14:textId="77777777" w:rsidR="008C0173" w:rsidRPr="0085700F" w:rsidRDefault="008C0173" w:rsidP="008C0173">
                  <w:pPr>
                    <w:spacing w:after="0" w:line="240" w:lineRule="auto"/>
                    <w:jc w:val="center"/>
                    <w:rPr>
                      <w:rFonts w:eastAsia="Times New Roman" w:cs="Arial"/>
                      <w:sz w:val="22"/>
                      <w:szCs w:val="22"/>
                    </w:rPr>
                  </w:pPr>
                  <w:r w:rsidRPr="0085700F">
                    <w:rPr>
                      <w:rFonts w:eastAsia="Times New Roman" w:cs="Arial"/>
                      <w:sz w:val="22"/>
                      <w:szCs w:val="22"/>
                    </w:rPr>
                    <w:t>122.333</w:t>
                  </w:r>
                </w:p>
              </w:tc>
            </w:tr>
          </w:tbl>
          <w:p w14:paraId="25DD6C98" w14:textId="28B2D828" w:rsidR="00B37F15" w:rsidRDefault="00B37F15">
            <w:pPr>
              <w:pStyle w:val="Compact"/>
              <w:jc w:val="center"/>
            </w:pPr>
          </w:p>
        </w:tc>
        <w:bookmarkEnd w:id="11"/>
      </w:tr>
    </w:tbl>
    <w:p w14:paraId="096C64B5" w14:textId="77777777" w:rsidR="008C0173" w:rsidRDefault="008C0173">
      <w:pPr>
        <w:pStyle w:val="Heading3"/>
      </w:pPr>
      <w:bookmarkStart w:id="12" w:name="verdadero-virus"/>
      <w:bookmarkEnd w:id="9"/>
    </w:p>
    <w:p w14:paraId="05435F3E" w14:textId="4F8DAE81" w:rsidR="00B37F15" w:rsidRDefault="00000000">
      <w:pPr>
        <w:pStyle w:val="Heading3"/>
      </w:pPr>
      <w:r>
        <w:t>Verdadero virus</w:t>
      </w:r>
    </w:p>
    <w:p w14:paraId="04A97A09" w14:textId="77777777" w:rsidR="00B37F15" w:rsidRDefault="00000000">
      <w:pPr>
        <w:pStyle w:val="FirstParagraph"/>
      </w:pPr>
      <w:r>
        <w:t xml:space="preserve">Verdadero virus is a two-segmented double-stranded (ds) RNA virus similar to viruses in the family </w:t>
      </w:r>
      <w:r>
        <w:rPr>
          <w:i/>
          <w:iCs/>
        </w:rPr>
        <w:t>Partitiviridae</w:t>
      </w:r>
      <w:r>
        <w:t xml:space="preserve"> (42, 53). Poza Rica mosquitos were infected by verdadero virus and by chaq-like virus, a presumed satellite virus of verdadero virus (42). We did not assess transmission of chaq-like virus separately. Previous experimental evidence showed that verdadero virus could be vertically transmitted with high efficiency (42). A related virus, Palmetto partiti-like virus, was found to be capable of vertical transmission and at high prevalence in colonized </w:t>
      </w:r>
      <w:r>
        <w:rPr>
          <w:i/>
          <w:iCs/>
        </w:rPr>
        <w:t>Ae. aegypti</w:t>
      </w:r>
      <w:r>
        <w:t xml:space="preserve"> from Florida (35).</w:t>
      </w:r>
    </w:p>
    <w:p w14:paraId="74BB5AB2" w14:textId="77777777" w:rsidR="00B37F15" w:rsidRDefault="00000000">
      <w:pPr>
        <w:pStyle w:val="BodyText"/>
      </w:pPr>
      <w:r>
        <w:t>Verdadero virus was at high prevalence in the Poza Rica parental population, and undetectable in the New Orleans or Vergel mosquitoes (</w:t>
      </w:r>
      <w:hyperlink w:anchor="fig-verd">
        <w:r w:rsidR="00B37F15">
          <w:rPr>
            <w:rStyle w:val="Hyperlink"/>
            <w:b/>
            <w:bCs/>
          </w:rPr>
          <w:t>Figure 2</w:t>
        </w:r>
      </w:hyperlink>
      <w:r>
        <w:t>). 11/12 (92%) of Poza Rica males and 10/12 (83%) of females were positive by RT-qPCR (</w:t>
      </w:r>
      <w:hyperlink w:anchor="fig-verd">
        <w:r w:rsidR="00B37F15">
          <w:rPr>
            <w:rStyle w:val="Hyperlink"/>
            <w:b/>
            <w:bCs/>
          </w:rPr>
          <w:t>Figure 2</w:t>
        </w:r>
      </w:hyperlink>
      <w:r>
        <w:t xml:space="preserve">). The mean level of verdadero virus RNA 1 in infected males and females was 2.6× and 0.3× the level of actin mRNA, respectively. Galbut virus, a related partitivirus that infects </w:t>
      </w:r>
      <w:r>
        <w:rPr>
          <w:i/>
          <w:iCs/>
        </w:rPr>
        <w:t>Drosophila melanogaster</w:t>
      </w:r>
      <w:r>
        <w:t>, also exhibits higher average RNA levels in infected males (42).</w:t>
      </w:r>
    </w:p>
    <w:p w14:paraId="52935E0B" w14:textId="77777777" w:rsidR="00B37F15" w:rsidRDefault="00000000">
      <w:pPr>
        <w:pStyle w:val="BodyText"/>
      </w:pPr>
      <w:r>
        <w:lastRenderedPageBreak/>
        <w:t>Like anphevirus, verdadero virus exhibited biparental vertical transmission (</w:t>
      </w:r>
      <w:hyperlink w:anchor="fig-verd">
        <w:r w:rsidR="00B37F15">
          <w:rPr>
            <w:rStyle w:val="Hyperlink"/>
            <w:b/>
            <w:bCs/>
          </w:rPr>
          <w:t>Figure 2</w:t>
        </w:r>
      </w:hyperlink>
      <w:r>
        <w:t>). 88/96 (92%) of offspring of Poza Rica mothers tested positive for verdadero virus RNA. Paternal transmission was less efficient, with only 48/92 (52%) of offspring infected from Poza Rica fathers. The mean level of anphevirus RNA in infected offspring was similar for maternal and paternal transmission: 17.0× and 18.8× the level of actin mRNA, respectively. Despite these similar averages, levels of verdadero virus RNA in individual offspring spanned a broad range, from 1.0×10</w:t>
      </w:r>
      <w:r>
        <w:rPr>
          <w:vertAlign w:val="superscript"/>
        </w:rPr>
        <w:t>-5</w:t>
      </w:r>
      <w:r>
        <w:t xml:space="preserve"> to 193× the levels of actin mRNA.</w:t>
      </w:r>
    </w:p>
    <w:p w14:paraId="7A8B9DBD" w14:textId="77777777" w:rsidR="00B37F15" w:rsidRDefault="00000000">
      <w:pPr>
        <w:pStyle w:val="BodyText"/>
      </w:pPr>
      <w:r>
        <w:t>Some New Orleans and Vergel parents tested positive for verdadero virus RNA following cohabitation with opposite-sex Poza Rica parents (</w:t>
      </w:r>
      <w:hyperlink w:anchor="fig-verd">
        <w:r w:rsidR="00B37F15">
          <w:rPr>
            <w:rStyle w:val="Hyperlink"/>
            <w:b/>
            <w:bCs/>
          </w:rPr>
          <w:t>Figure 2</w:t>
        </w:r>
      </w:hyperlink>
      <w:r>
        <w:t>). 32/48 (67%) of New Orleans parents and 9/48 (19%) of Vergel parents were positive following cohabitation (</w:t>
      </w:r>
      <w:hyperlink w:anchor="fig-verd">
        <w:r w:rsidR="00B37F15">
          <w:rPr>
            <w:rStyle w:val="Hyperlink"/>
            <w:b/>
            <w:bCs/>
          </w:rPr>
          <w:t>Figure 2</w:t>
        </w:r>
      </w:hyperlink>
      <w:r>
        <w:t>). Verdadero virus RNA levels in these mosquitoes were low, on average 0.02× levels of actin mRNA.</w:t>
      </w:r>
    </w:p>
    <w:p w14:paraId="592F6261" w14:textId="77777777" w:rsidR="00B37F15" w:rsidRDefault="00000000">
      <w:pPr>
        <w:pStyle w:val="BodyText"/>
      </w:pPr>
      <w:r>
        <w:t>We modeled verdadero virus transmission as we had for AeAV (</w:t>
      </w:r>
      <w:hyperlink w:anchor="tbl-verd-model">
        <w:r w:rsidR="00B37F15">
          <w:rPr>
            <w:rStyle w:val="Hyperlink"/>
            <w:b/>
            <w:bCs/>
          </w:rPr>
          <w:t>Table 3</w:t>
        </w:r>
      </w:hyperlink>
      <w:r>
        <w:t>). As with anphevirus, paternal vs maternal transmission was the only variable significantly predicting verdadero virus prevalance in offspring (</w:t>
      </w:r>
      <w:hyperlink w:anchor="tbl-verd-model">
        <w:r w:rsidR="00B37F15">
          <w:rPr>
            <w:rStyle w:val="Hyperlink"/>
            <w:b/>
            <w:bCs/>
          </w:rPr>
          <w:t>Table 3</w:t>
        </w:r>
      </w:hyperlink>
      <w:r>
        <w:t>), with offspring more likely to be infected via maternal transmission (p = 5.0×10</w:t>
      </w:r>
      <w:r>
        <w:rPr>
          <w:vertAlign w:val="superscript"/>
        </w:rPr>
        <w:t>-8</w:t>
      </w:r>
      <w:r>
        <w:t>). In contrast to AeAV, male adults were more likely to test positive for verdadero virus following exposure to infected Poza Rica females (p = 1.2×10</w:t>
      </w:r>
      <w:r>
        <w:rPr>
          <w:vertAlign w:val="superscript"/>
        </w:rPr>
        <w:t>-2</w:t>
      </w:r>
      <w:r>
        <w:t>). Adults from the New Orleans colony were more likely to test positive than those from the Vergel colony following cohabitation, indicating a possible role for mosquito genotype or behavior in susceptibility to verdadero virus infection (p = 6.2×10</w:t>
      </w:r>
      <w:r>
        <w:rPr>
          <w:vertAlign w:val="superscript"/>
        </w:rPr>
        <w:t>-6</w:t>
      </w:r>
      <w:r>
        <w:t xml:space="preserve">; </w:t>
      </w:r>
      <w:hyperlink w:anchor="fig-verd">
        <w:r w:rsidR="00B37F15">
          <w:rPr>
            <w:rStyle w:val="Hyperlink"/>
            <w:b/>
            <w:bCs/>
          </w:rPr>
          <w:t>Figure 2</w:t>
        </w:r>
      </w:hyperlink>
      <w:r>
        <w:t xml:space="preserve">; </w:t>
      </w:r>
      <w:hyperlink w:anchor="tbl-verd-model">
        <w:r w:rsidR="00B37F15">
          <w:rPr>
            <w:rStyle w:val="Hyperlink"/>
            <w:b/>
            <w:bCs/>
          </w:rPr>
          <w:t>Table 3</w:t>
        </w:r>
      </w:hyperlink>
      <w:r>
        <w:t>).</w:t>
      </w:r>
    </w:p>
    <w:tbl>
      <w:tblPr>
        <w:tblStyle w:val="Table"/>
        <w:tblW w:w="4900" w:type="pct"/>
        <w:tblLayout w:type="fixed"/>
        <w:tblLook w:val="0000" w:firstRow="0" w:lastRow="0" w:firstColumn="0" w:lastColumn="0" w:noHBand="0" w:noVBand="0"/>
      </w:tblPr>
      <w:tblGrid>
        <w:gridCol w:w="9173"/>
      </w:tblGrid>
      <w:tr w:rsidR="00B37F15" w14:paraId="27A6D2E2" w14:textId="77777777">
        <w:tc>
          <w:tcPr>
            <w:tcW w:w="7761" w:type="dxa"/>
          </w:tcPr>
          <w:p w14:paraId="09DE13B6" w14:textId="77777777" w:rsidR="00B37F15" w:rsidRDefault="00000000">
            <w:pPr>
              <w:jc w:val="center"/>
            </w:pPr>
            <w:bookmarkStart w:id="13" w:name="fig-verd"/>
            <w:r>
              <w:rPr>
                <w:noProof/>
              </w:rPr>
              <w:lastRenderedPageBreak/>
              <w:drawing>
                <wp:inline distT="0" distB="0" distL="0" distR="0" wp14:anchorId="4464B070" wp14:editId="2E39235F">
                  <wp:extent cx="5762460" cy="4450814"/>
                  <wp:effectExtent l="0" t="0" r="381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Poza_Rica_x_New_Orleans_Verdadero_Virus.png"/>
                          <pic:cNvPicPr>
                            <a:picLocks noChangeAspect="1" noChangeArrowheads="1"/>
                          </pic:cNvPicPr>
                        </pic:nvPicPr>
                        <pic:blipFill>
                          <a:blip r:embed="rId10"/>
                          <a:stretch>
                            <a:fillRect/>
                          </a:stretch>
                        </pic:blipFill>
                        <pic:spPr bwMode="auto">
                          <a:xfrm>
                            <a:off x="0" y="0"/>
                            <a:ext cx="5813858" cy="4490513"/>
                          </a:xfrm>
                          <a:prstGeom prst="rect">
                            <a:avLst/>
                          </a:prstGeom>
                          <a:noFill/>
                          <a:ln w="9525">
                            <a:noFill/>
                            <a:headEnd/>
                            <a:tailEnd/>
                          </a:ln>
                        </pic:spPr>
                      </pic:pic>
                    </a:graphicData>
                  </a:graphic>
                </wp:inline>
              </w:drawing>
            </w:r>
          </w:p>
        </w:tc>
      </w:tr>
    </w:tbl>
    <w:p w14:paraId="45F4F08F" w14:textId="77777777" w:rsidR="00B37F15" w:rsidRDefault="00B37F15">
      <w:pPr>
        <w:framePr w:h="0" w:wrap="auto" w:hAnchor="margin" w:xAlign="right" w:yAlign="top"/>
      </w:pPr>
    </w:p>
    <w:tbl>
      <w:tblPr>
        <w:tblStyle w:val="Table"/>
        <w:tblW w:w="4900" w:type="pct"/>
        <w:tblLayout w:type="fixed"/>
        <w:tblLook w:val="0000" w:firstRow="0" w:lastRow="0" w:firstColumn="0" w:lastColumn="0" w:noHBand="0" w:noVBand="0"/>
      </w:tblPr>
      <w:tblGrid>
        <w:gridCol w:w="9173"/>
      </w:tblGrid>
      <w:tr w:rsidR="00B37F15" w14:paraId="5DA10976" w14:textId="77777777">
        <w:tc>
          <w:tcPr>
            <w:tcW w:w="7761" w:type="dxa"/>
          </w:tcPr>
          <w:p w14:paraId="60BD6A39" w14:textId="77777777" w:rsidR="00B37F15" w:rsidRDefault="00000000">
            <w:pPr>
              <w:jc w:val="center"/>
            </w:pPr>
            <w:r>
              <w:rPr>
                <w:noProof/>
              </w:rPr>
              <w:lastRenderedPageBreak/>
              <w:drawing>
                <wp:inline distT="0" distB="0" distL="0" distR="0" wp14:anchorId="329EC5D9" wp14:editId="73F1A997">
                  <wp:extent cx="5790987" cy="4472848"/>
                  <wp:effectExtent l="0" t="0" r="635"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Poza_Rica_x_Vergel_Verdadero_Virus.png"/>
                          <pic:cNvPicPr>
                            <a:picLocks noChangeAspect="1" noChangeArrowheads="1"/>
                          </pic:cNvPicPr>
                        </pic:nvPicPr>
                        <pic:blipFill>
                          <a:blip r:embed="rId11"/>
                          <a:stretch>
                            <a:fillRect/>
                          </a:stretch>
                        </pic:blipFill>
                        <pic:spPr bwMode="auto">
                          <a:xfrm>
                            <a:off x="0" y="0"/>
                            <a:ext cx="5799062" cy="4479085"/>
                          </a:xfrm>
                          <a:prstGeom prst="rect">
                            <a:avLst/>
                          </a:prstGeom>
                          <a:noFill/>
                          <a:ln w="9525">
                            <a:noFill/>
                            <a:headEnd/>
                            <a:tailEnd/>
                          </a:ln>
                        </pic:spPr>
                      </pic:pic>
                    </a:graphicData>
                  </a:graphic>
                </wp:inline>
              </w:drawing>
            </w:r>
          </w:p>
        </w:tc>
      </w:tr>
    </w:tbl>
    <w:p w14:paraId="05F4DE45" w14:textId="77777777" w:rsidR="00B37F15" w:rsidRDefault="00000000">
      <w:pPr>
        <w:pStyle w:val="ImageCaption"/>
        <w:spacing w:before="200"/>
      </w:pPr>
      <w:r>
        <w:t>Figure 2: Prevalence and transmission of verdadero virus. Upper panels show prevalence of verdadero virus in different populations of parental and offspring mosquitoes. Error bars indicate binomial 95% confidence intervals. Lower panels show levels of verdadero virus RNA detected by RT-qPCR in individual mosquitoes normalized to levels of actin mRNA. Values for uninfected mosquitoes are plotted in grey on the lowest Y axis position. Rep refers to replicate crosses. (A) Crosses between mosquitoes from the Poza Rica colony and the New Orleans colony. (B) Crosses between mosquitoes from the Poza Rica colony and the Vergel colony. The same data for parental Poza Rica is shown in upper and lower panels.</w:t>
      </w:r>
    </w:p>
    <w:bookmarkEnd w:id="13"/>
    <w:p w14:paraId="1DFFADD9" w14:textId="77777777" w:rsidR="00B37F15" w:rsidRDefault="00000000">
      <w:pPr>
        <w:pStyle w:val="BodyText"/>
      </w:pPr>
      <w:r>
        <w:t xml:space="preserve"> </w:t>
      </w:r>
    </w:p>
    <w:p w14:paraId="70960E40" w14:textId="77777777" w:rsidR="00140366" w:rsidRDefault="00140366">
      <w:r>
        <w:br w:type="page"/>
      </w:r>
    </w:p>
    <w:tbl>
      <w:tblPr>
        <w:tblStyle w:val="Table"/>
        <w:tblW w:w="5000" w:type="pct"/>
        <w:tblLayout w:type="fixed"/>
        <w:tblLook w:val="0000" w:firstRow="0" w:lastRow="0" w:firstColumn="0" w:lastColumn="0" w:noHBand="0" w:noVBand="0"/>
      </w:tblPr>
      <w:tblGrid>
        <w:gridCol w:w="9360"/>
      </w:tblGrid>
      <w:tr w:rsidR="00140366" w14:paraId="6B80976B" w14:textId="77777777" w:rsidTr="00A24CD6">
        <w:tc>
          <w:tcPr>
            <w:tcW w:w="7920" w:type="dxa"/>
          </w:tcPr>
          <w:p w14:paraId="12CBD672" w14:textId="63AFF6A5" w:rsidR="00140366" w:rsidRPr="005978AF" w:rsidRDefault="00140366" w:rsidP="00A24CD6">
            <w:pPr>
              <w:spacing w:after="0" w:line="240" w:lineRule="auto"/>
              <w:rPr>
                <w:rFonts w:eastAsia="Times New Roman" w:cs="Arial"/>
                <w:b/>
                <w:bCs/>
                <w:sz w:val="22"/>
                <w:szCs w:val="22"/>
              </w:rPr>
            </w:pPr>
            <w:r w:rsidRPr="005978AF">
              <w:rPr>
                <w:rFonts w:eastAsia="Times New Roman" w:cs="Arial"/>
                <w:b/>
                <w:bCs/>
                <w:sz w:val="22"/>
                <w:szCs w:val="22"/>
              </w:rPr>
              <w:lastRenderedPageBreak/>
              <w:t xml:space="preserve">Table 3: Logistic regression model of verdadero virus transmission. </w:t>
            </w:r>
          </w:p>
          <w:tbl>
            <w:tblPr>
              <w:tblW w:w="0" w:type="auto"/>
              <w:tblCellMar>
                <w:top w:w="15" w:type="dxa"/>
                <w:left w:w="15" w:type="dxa"/>
                <w:bottom w:w="15" w:type="dxa"/>
                <w:right w:w="15" w:type="dxa"/>
              </w:tblCellMar>
              <w:tblLook w:val="04A0" w:firstRow="1" w:lastRow="0" w:firstColumn="1" w:lastColumn="0" w:noHBand="0" w:noVBand="1"/>
            </w:tblPr>
            <w:tblGrid>
              <w:gridCol w:w="2708"/>
              <w:gridCol w:w="997"/>
              <w:gridCol w:w="1450"/>
              <w:gridCol w:w="906"/>
              <w:gridCol w:w="933"/>
              <w:gridCol w:w="1450"/>
              <w:gridCol w:w="906"/>
            </w:tblGrid>
            <w:tr w:rsidR="00140366" w:rsidRPr="005978AF" w14:paraId="0C7DEDE9" w14:textId="77777777" w:rsidTr="00A24CD6">
              <w:tc>
                <w:tcPr>
                  <w:tcW w:w="2708" w:type="dxa"/>
                  <w:tcBorders>
                    <w:top w:val="single" w:sz="4" w:space="0" w:color="auto"/>
                    <w:left w:val="single" w:sz="4" w:space="0" w:color="auto"/>
                    <w:bottom w:val="dotted" w:sz="4" w:space="0" w:color="auto"/>
                    <w:right w:val="dotted" w:sz="4" w:space="0" w:color="auto"/>
                  </w:tcBorders>
                  <w:tcMar>
                    <w:top w:w="113" w:type="dxa"/>
                    <w:left w:w="113" w:type="dxa"/>
                    <w:bottom w:w="113" w:type="dxa"/>
                    <w:right w:w="113" w:type="dxa"/>
                  </w:tcMar>
                  <w:vAlign w:val="center"/>
                  <w:hideMark/>
                </w:tcPr>
                <w:p w14:paraId="30EE9893" w14:textId="77777777" w:rsidR="00140366" w:rsidRPr="005978AF" w:rsidRDefault="00140366" w:rsidP="00A24CD6">
                  <w:pPr>
                    <w:spacing w:after="0" w:line="240" w:lineRule="auto"/>
                    <w:rPr>
                      <w:rFonts w:eastAsia="Times New Roman" w:cs="Arial"/>
                      <w:b/>
                      <w:bCs/>
                      <w:sz w:val="22"/>
                      <w:szCs w:val="22"/>
                    </w:rPr>
                  </w:pPr>
                  <w:r w:rsidRPr="005978AF">
                    <w:rPr>
                      <w:rFonts w:eastAsia="Times New Roman" w:cs="Arial"/>
                      <w:b/>
                      <w:bCs/>
                      <w:sz w:val="22"/>
                      <w:szCs w:val="22"/>
                    </w:rPr>
                    <w:t xml:space="preserve">  </w:t>
                  </w:r>
                </w:p>
              </w:tc>
              <w:tc>
                <w:tcPr>
                  <w:tcW w:w="3353" w:type="dxa"/>
                  <w:gridSpan w:val="3"/>
                  <w:tcBorders>
                    <w:top w:val="single" w:sz="4" w:space="0" w:color="auto"/>
                    <w:left w:val="dotted" w:sz="4" w:space="0" w:color="auto"/>
                    <w:bottom w:val="dotted" w:sz="4" w:space="0" w:color="auto"/>
                    <w:right w:val="dotted" w:sz="4" w:space="0" w:color="auto"/>
                  </w:tcBorders>
                  <w:tcMar>
                    <w:top w:w="113" w:type="dxa"/>
                    <w:left w:w="113" w:type="dxa"/>
                    <w:bottom w:w="113" w:type="dxa"/>
                    <w:right w:w="113" w:type="dxa"/>
                  </w:tcMar>
                  <w:vAlign w:val="center"/>
                  <w:hideMark/>
                </w:tcPr>
                <w:p w14:paraId="4C600BFB" w14:textId="77777777" w:rsidR="00140366" w:rsidRPr="005978AF" w:rsidRDefault="00140366" w:rsidP="00A24CD6">
                  <w:pPr>
                    <w:spacing w:after="0" w:line="240" w:lineRule="auto"/>
                    <w:jc w:val="center"/>
                    <w:rPr>
                      <w:rFonts w:eastAsia="Times New Roman" w:cs="Arial"/>
                      <w:b/>
                      <w:bCs/>
                      <w:sz w:val="22"/>
                      <w:szCs w:val="22"/>
                    </w:rPr>
                  </w:pPr>
                  <w:r w:rsidRPr="005978AF">
                    <w:rPr>
                      <w:rFonts w:eastAsia="Times New Roman" w:cs="Arial"/>
                      <w:b/>
                      <w:bCs/>
                      <w:sz w:val="22"/>
                      <w:szCs w:val="22"/>
                    </w:rPr>
                    <w:t xml:space="preserve">Vertical transmission </w:t>
                  </w:r>
                </w:p>
              </w:tc>
              <w:tc>
                <w:tcPr>
                  <w:tcW w:w="3289" w:type="dxa"/>
                  <w:gridSpan w:val="3"/>
                  <w:tcBorders>
                    <w:top w:val="single" w:sz="4" w:space="0" w:color="auto"/>
                    <w:left w:val="dotted" w:sz="4" w:space="0" w:color="auto"/>
                    <w:bottom w:val="dotted" w:sz="4" w:space="0" w:color="auto"/>
                    <w:right w:val="single" w:sz="4" w:space="0" w:color="auto"/>
                  </w:tcBorders>
                  <w:tcMar>
                    <w:top w:w="113" w:type="dxa"/>
                    <w:left w:w="113" w:type="dxa"/>
                    <w:bottom w:w="113" w:type="dxa"/>
                    <w:right w:w="113" w:type="dxa"/>
                  </w:tcMar>
                  <w:vAlign w:val="center"/>
                  <w:hideMark/>
                </w:tcPr>
                <w:p w14:paraId="1BB86817" w14:textId="77777777" w:rsidR="00140366" w:rsidRPr="005978AF" w:rsidRDefault="00140366" w:rsidP="00A24CD6">
                  <w:pPr>
                    <w:spacing w:after="0" w:line="240" w:lineRule="auto"/>
                    <w:jc w:val="center"/>
                    <w:rPr>
                      <w:rFonts w:eastAsia="Times New Roman" w:cs="Arial"/>
                      <w:b/>
                      <w:bCs/>
                      <w:sz w:val="22"/>
                      <w:szCs w:val="22"/>
                    </w:rPr>
                  </w:pPr>
                  <w:r w:rsidRPr="005978AF">
                    <w:rPr>
                      <w:rFonts w:eastAsia="Times New Roman" w:cs="Arial"/>
                      <w:b/>
                      <w:bCs/>
                      <w:sz w:val="22"/>
                      <w:szCs w:val="22"/>
                    </w:rPr>
                    <w:t xml:space="preserve">Horizontal transmission </w:t>
                  </w:r>
                </w:p>
              </w:tc>
            </w:tr>
            <w:tr w:rsidR="00140366" w:rsidRPr="005978AF" w14:paraId="1C52F542" w14:textId="77777777" w:rsidTr="00A24CD6">
              <w:tc>
                <w:tcPr>
                  <w:tcW w:w="2708" w:type="dxa"/>
                  <w:tcBorders>
                    <w:top w:val="dotted" w:sz="4" w:space="0" w:color="auto"/>
                    <w:left w:val="single" w:sz="4" w:space="0" w:color="auto"/>
                    <w:bottom w:val="dotted" w:sz="4" w:space="0" w:color="auto"/>
                    <w:right w:val="dotted" w:sz="4" w:space="0" w:color="auto"/>
                  </w:tcBorders>
                  <w:vAlign w:val="center"/>
                  <w:hideMark/>
                </w:tcPr>
                <w:p w14:paraId="561CB5EC" w14:textId="77777777" w:rsidR="00140366" w:rsidRPr="005978AF" w:rsidRDefault="00140366" w:rsidP="00A24CD6">
                  <w:pPr>
                    <w:spacing w:after="0" w:line="240" w:lineRule="auto"/>
                    <w:rPr>
                      <w:rFonts w:eastAsia="Times New Roman" w:cs="Arial"/>
                      <w:i/>
                      <w:iCs/>
                      <w:sz w:val="22"/>
                      <w:szCs w:val="22"/>
                    </w:rPr>
                  </w:pPr>
                  <w:r w:rsidRPr="005978AF">
                    <w:rPr>
                      <w:rFonts w:eastAsia="Times New Roman" w:cs="Arial"/>
                      <w:i/>
                      <w:iCs/>
                      <w:sz w:val="22"/>
                      <w:szCs w:val="22"/>
                    </w:rPr>
                    <w:t xml:space="preserve">Predictors </w:t>
                  </w:r>
                </w:p>
              </w:tc>
              <w:tc>
                <w:tcPr>
                  <w:tcW w:w="997" w:type="dxa"/>
                  <w:tcBorders>
                    <w:top w:val="dotted" w:sz="4" w:space="0" w:color="auto"/>
                    <w:left w:val="dotted" w:sz="4" w:space="0" w:color="auto"/>
                    <w:bottom w:val="dotted" w:sz="4" w:space="0" w:color="auto"/>
                    <w:right w:val="dotted" w:sz="4" w:space="0" w:color="auto"/>
                  </w:tcBorders>
                  <w:vAlign w:val="center"/>
                  <w:hideMark/>
                </w:tcPr>
                <w:p w14:paraId="267BF401"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Odds Ratios </w:t>
                  </w:r>
                </w:p>
              </w:tc>
              <w:tc>
                <w:tcPr>
                  <w:tcW w:w="1450" w:type="dxa"/>
                  <w:tcBorders>
                    <w:top w:val="dotted" w:sz="4" w:space="0" w:color="auto"/>
                    <w:left w:val="dotted" w:sz="4" w:space="0" w:color="auto"/>
                    <w:bottom w:val="dotted" w:sz="4" w:space="0" w:color="auto"/>
                    <w:right w:val="dotted" w:sz="4" w:space="0" w:color="auto"/>
                  </w:tcBorders>
                  <w:vAlign w:val="center"/>
                  <w:hideMark/>
                </w:tcPr>
                <w:p w14:paraId="7C4C98F6"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CI </w:t>
                  </w:r>
                </w:p>
              </w:tc>
              <w:tc>
                <w:tcPr>
                  <w:tcW w:w="906" w:type="dxa"/>
                  <w:tcBorders>
                    <w:top w:val="dotted" w:sz="4" w:space="0" w:color="auto"/>
                    <w:left w:val="dotted" w:sz="4" w:space="0" w:color="auto"/>
                    <w:bottom w:val="dotted" w:sz="4" w:space="0" w:color="auto"/>
                    <w:right w:val="dotted" w:sz="4" w:space="0" w:color="auto"/>
                  </w:tcBorders>
                  <w:vAlign w:val="center"/>
                  <w:hideMark/>
                </w:tcPr>
                <w:p w14:paraId="219503F7"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p </w:t>
                  </w:r>
                </w:p>
              </w:tc>
              <w:tc>
                <w:tcPr>
                  <w:tcW w:w="933" w:type="dxa"/>
                  <w:tcBorders>
                    <w:top w:val="dotted" w:sz="4" w:space="0" w:color="auto"/>
                    <w:left w:val="dotted" w:sz="4" w:space="0" w:color="auto"/>
                    <w:bottom w:val="dotted" w:sz="4" w:space="0" w:color="auto"/>
                    <w:right w:val="dotted" w:sz="4" w:space="0" w:color="auto"/>
                  </w:tcBorders>
                  <w:vAlign w:val="center"/>
                  <w:hideMark/>
                </w:tcPr>
                <w:p w14:paraId="6CC5D21A"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Odds Ratios </w:t>
                  </w:r>
                </w:p>
              </w:tc>
              <w:tc>
                <w:tcPr>
                  <w:tcW w:w="1450" w:type="dxa"/>
                  <w:tcBorders>
                    <w:top w:val="dotted" w:sz="4" w:space="0" w:color="auto"/>
                    <w:left w:val="dotted" w:sz="4" w:space="0" w:color="auto"/>
                    <w:bottom w:val="dotted" w:sz="4" w:space="0" w:color="auto"/>
                    <w:right w:val="dotted" w:sz="4" w:space="0" w:color="auto"/>
                  </w:tcBorders>
                  <w:vAlign w:val="center"/>
                  <w:hideMark/>
                </w:tcPr>
                <w:p w14:paraId="7C1A1233"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CI </w:t>
                  </w:r>
                </w:p>
              </w:tc>
              <w:tc>
                <w:tcPr>
                  <w:tcW w:w="906" w:type="dxa"/>
                  <w:tcBorders>
                    <w:top w:val="dotted" w:sz="4" w:space="0" w:color="auto"/>
                    <w:left w:val="dotted" w:sz="4" w:space="0" w:color="auto"/>
                    <w:bottom w:val="dotted" w:sz="4" w:space="0" w:color="auto"/>
                    <w:right w:val="single" w:sz="4" w:space="0" w:color="auto"/>
                  </w:tcBorders>
                  <w:vAlign w:val="center"/>
                  <w:hideMark/>
                </w:tcPr>
                <w:p w14:paraId="0F3917CE" w14:textId="77777777" w:rsidR="00140366" w:rsidRPr="005978AF" w:rsidRDefault="00140366" w:rsidP="00A24CD6">
                  <w:pPr>
                    <w:spacing w:after="0" w:line="240" w:lineRule="auto"/>
                    <w:jc w:val="center"/>
                    <w:rPr>
                      <w:rFonts w:eastAsia="Times New Roman" w:cs="Arial"/>
                      <w:i/>
                      <w:iCs/>
                      <w:sz w:val="22"/>
                      <w:szCs w:val="22"/>
                    </w:rPr>
                  </w:pPr>
                  <w:r w:rsidRPr="005978AF">
                    <w:rPr>
                      <w:rFonts w:eastAsia="Times New Roman" w:cs="Arial"/>
                      <w:i/>
                      <w:iCs/>
                      <w:sz w:val="22"/>
                      <w:szCs w:val="22"/>
                    </w:rPr>
                    <w:t xml:space="preserve">p </w:t>
                  </w:r>
                </w:p>
              </w:tc>
            </w:tr>
            <w:tr w:rsidR="00140366" w:rsidRPr="005978AF" w14:paraId="7DB4AA4E" w14:textId="77777777" w:rsidTr="00A24CD6">
              <w:tc>
                <w:tcPr>
                  <w:tcW w:w="270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35979A07"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(Intercept) </w:t>
                  </w:r>
                </w:p>
              </w:tc>
              <w:tc>
                <w:tcPr>
                  <w:tcW w:w="997"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3FCC91A"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12.61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63BB93A7"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5.46 – 33.40 </w:t>
                  </w:r>
                </w:p>
              </w:tc>
              <w:tc>
                <w:tcPr>
                  <w:tcW w:w="9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E1C6A20"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b/>
                      <w:bCs/>
                      <w:sz w:val="22"/>
                      <w:szCs w:val="22"/>
                    </w:rPr>
                    <w:t>&lt;0.001</w:t>
                  </w:r>
                  <w:r w:rsidRPr="005978AF">
                    <w:rPr>
                      <w:rFonts w:eastAsia="Times New Roman" w:cs="Arial"/>
                      <w:sz w:val="22"/>
                      <w:szCs w:val="22"/>
                    </w:rPr>
                    <w:t xml:space="preserve"> </w:t>
                  </w:r>
                </w:p>
              </w:tc>
              <w:tc>
                <w:tcPr>
                  <w:tcW w:w="93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3201C27"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1.12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1E4C56E"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0.53 – 2.38 </w:t>
                  </w:r>
                </w:p>
              </w:tc>
              <w:tc>
                <w:tcPr>
                  <w:tcW w:w="906"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5076EED1"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0.757 </w:t>
                  </w:r>
                </w:p>
              </w:tc>
            </w:tr>
            <w:tr w:rsidR="00140366" w:rsidRPr="005978AF" w14:paraId="37A435A5" w14:textId="77777777" w:rsidTr="00A24CD6">
              <w:tc>
                <w:tcPr>
                  <w:tcW w:w="270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16F65F22"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Offspring or exposed parent sex [male] </w:t>
                  </w:r>
                </w:p>
              </w:tc>
              <w:tc>
                <w:tcPr>
                  <w:tcW w:w="997"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04AC6B4E"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1.01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659D3B8B"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0.49 – 2.06 </w:t>
                  </w:r>
                </w:p>
              </w:tc>
              <w:tc>
                <w:tcPr>
                  <w:tcW w:w="9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C0223C7"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0.987 </w:t>
                  </w:r>
                </w:p>
              </w:tc>
              <w:tc>
                <w:tcPr>
                  <w:tcW w:w="93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92372CA"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3.65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3FF7A5FF"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1.38 – 10.63 </w:t>
                  </w:r>
                </w:p>
              </w:tc>
              <w:tc>
                <w:tcPr>
                  <w:tcW w:w="906"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1AA7EFB8"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b/>
                      <w:bCs/>
                      <w:sz w:val="22"/>
                      <w:szCs w:val="22"/>
                    </w:rPr>
                    <w:t>0.012</w:t>
                  </w:r>
                  <w:r w:rsidRPr="005978AF">
                    <w:rPr>
                      <w:rFonts w:eastAsia="Times New Roman" w:cs="Arial"/>
                      <w:sz w:val="22"/>
                      <w:szCs w:val="22"/>
                    </w:rPr>
                    <w:t xml:space="preserve"> </w:t>
                  </w:r>
                </w:p>
              </w:tc>
            </w:tr>
            <w:tr w:rsidR="00140366" w:rsidRPr="005978AF" w14:paraId="16493094" w14:textId="77777777" w:rsidTr="00A24CD6">
              <w:tc>
                <w:tcPr>
                  <w:tcW w:w="270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31AABF94"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Non-infected parent colony [Vergel] </w:t>
                  </w:r>
                </w:p>
              </w:tc>
              <w:tc>
                <w:tcPr>
                  <w:tcW w:w="997"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7E8452EC"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0.77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356E36D9"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0.37 – 1.57 </w:t>
                  </w:r>
                </w:p>
              </w:tc>
              <w:tc>
                <w:tcPr>
                  <w:tcW w:w="9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603AFA1F"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0.468 </w:t>
                  </w:r>
                </w:p>
              </w:tc>
              <w:tc>
                <w:tcPr>
                  <w:tcW w:w="93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19A688D"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0.09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BA9DBA4"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0.03 – 0.25 </w:t>
                  </w:r>
                </w:p>
              </w:tc>
              <w:tc>
                <w:tcPr>
                  <w:tcW w:w="906"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2E5BE411"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b/>
                      <w:bCs/>
                      <w:sz w:val="22"/>
                      <w:szCs w:val="22"/>
                    </w:rPr>
                    <w:t>&lt;0.001</w:t>
                  </w:r>
                  <w:r w:rsidRPr="005978AF">
                    <w:rPr>
                      <w:rFonts w:eastAsia="Times New Roman" w:cs="Arial"/>
                      <w:sz w:val="22"/>
                      <w:szCs w:val="22"/>
                    </w:rPr>
                    <w:t xml:space="preserve"> </w:t>
                  </w:r>
                </w:p>
              </w:tc>
            </w:tr>
            <w:tr w:rsidR="00140366" w:rsidRPr="005978AF" w14:paraId="64B68669" w14:textId="77777777" w:rsidTr="00A24CD6">
              <w:tc>
                <w:tcPr>
                  <w:tcW w:w="2708" w:type="dxa"/>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10D94D6C"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Vertical transmission mode [paternal] </w:t>
                  </w:r>
                </w:p>
              </w:tc>
              <w:tc>
                <w:tcPr>
                  <w:tcW w:w="997"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7B7BEFCA"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0.10 </w:t>
                  </w: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CAB0421"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sz w:val="22"/>
                      <w:szCs w:val="22"/>
                    </w:rPr>
                    <w:t xml:space="preserve">0.04 – 0.22 </w:t>
                  </w:r>
                </w:p>
              </w:tc>
              <w:tc>
                <w:tcPr>
                  <w:tcW w:w="906"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27CA4779" w14:textId="77777777" w:rsidR="00140366" w:rsidRPr="005978AF" w:rsidRDefault="00140366" w:rsidP="00A24CD6">
                  <w:pPr>
                    <w:spacing w:after="0" w:line="240" w:lineRule="auto"/>
                    <w:jc w:val="center"/>
                    <w:rPr>
                      <w:rFonts w:eastAsia="Times New Roman" w:cs="Arial"/>
                      <w:sz w:val="22"/>
                      <w:szCs w:val="22"/>
                    </w:rPr>
                  </w:pPr>
                  <w:r w:rsidRPr="005978AF">
                    <w:rPr>
                      <w:rFonts w:eastAsia="Times New Roman" w:cs="Arial"/>
                      <w:b/>
                      <w:bCs/>
                      <w:sz w:val="22"/>
                      <w:szCs w:val="22"/>
                    </w:rPr>
                    <w:t>&lt;0.001</w:t>
                  </w:r>
                  <w:r w:rsidRPr="005978AF">
                    <w:rPr>
                      <w:rFonts w:eastAsia="Times New Roman" w:cs="Arial"/>
                      <w:sz w:val="22"/>
                      <w:szCs w:val="22"/>
                    </w:rPr>
                    <w:t xml:space="preserve"> </w:t>
                  </w:r>
                </w:p>
              </w:tc>
              <w:tc>
                <w:tcPr>
                  <w:tcW w:w="933"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624AC80" w14:textId="77777777" w:rsidR="00140366" w:rsidRPr="005978AF" w:rsidRDefault="00140366" w:rsidP="00A24CD6">
                  <w:pPr>
                    <w:spacing w:after="0" w:line="240" w:lineRule="auto"/>
                    <w:jc w:val="center"/>
                    <w:rPr>
                      <w:rFonts w:eastAsia="Times New Roman" w:cs="Arial"/>
                      <w:sz w:val="22"/>
                      <w:szCs w:val="22"/>
                    </w:rPr>
                  </w:pPr>
                </w:p>
              </w:tc>
              <w:tc>
                <w:tcPr>
                  <w:tcW w:w="1450" w:type="dxa"/>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7FA5F2D" w14:textId="77777777" w:rsidR="00140366" w:rsidRPr="005978AF" w:rsidRDefault="00140366" w:rsidP="00A24CD6">
                  <w:pPr>
                    <w:spacing w:after="0" w:line="240" w:lineRule="auto"/>
                    <w:jc w:val="center"/>
                    <w:rPr>
                      <w:rFonts w:eastAsia="Times New Roman" w:cs="Arial"/>
                      <w:sz w:val="22"/>
                      <w:szCs w:val="22"/>
                    </w:rPr>
                  </w:pPr>
                </w:p>
              </w:tc>
              <w:tc>
                <w:tcPr>
                  <w:tcW w:w="906" w:type="dxa"/>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7B220F6B" w14:textId="77777777" w:rsidR="00140366" w:rsidRPr="005978AF" w:rsidRDefault="00140366" w:rsidP="00A24CD6">
                  <w:pPr>
                    <w:spacing w:after="0" w:line="240" w:lineRule="auto"/>
                    <w:jc w:val="center"/>
                    <w:rPr>
                      <w:rFonts w:eastAsia="Times New Roman" w:cs="Arial"/>
                      <w:sz w:val="22"/>
                      <w:szCs w:val="22"/>
                    </w:rPr>
                  </w:pPr>
                </w:p>
              </w:tc>
            </w:tr>
            <w:tr w:rsidR="00140366" w:rsidRPr="005978AF" w14:paraId="2F1BA856" w14:textId="77777777" w:rsidTr="00A24CD6">
              <w:tc>
                <w:tcPr>
                  <w:tcW w:w="2708" w:type="dxa"/>
                  <w:tcBorders>
                    <w:top w:val="dotted" w:sz="4" w:space="0" w:color="auto"/>
                    <w:left w:val="single" w:sz="4" w:space="0" w:color="auto"/>
                    <w:bottom w:val="dotted" w:sz="4" w:space="0" w:color="auto"/>
                    <w:right w:val="dotted" w:sz="4" w:space="0" w:color="auto"/>
                  </w:tcBorders>
                  <w:tcMar>
                    <w:top w:w="57" w:type="dxa"/>
                    <w:left w:w="113" w:type="dxa"/>
                    <w:bottom w:w="57" w:type="dxa"/>
                    <w:right w:w="113" w:type="dxa"/>
                  </w:tcMar>
                  <w:hideMark/>
                </w:tcPr>
                <w:p w14:paraId="494F64CD"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Observations </w:t>
                  </w:r>
                </w:p>
              </w:tc>
              <w:tc>
                <w:tcPr>
                  <w:tcW w:w="3353" w:type="dxa"/>
                  <w:gridSpan w:val="3"/>
                  <w:tcBorders>
                    <w:top w:val="dotted" w:sz="4" w:space="0" w:color="auto"/>
                    <w:left w:val="dotted" w:sz="4" w:space="0" w:color="auto"/>
                    <w:bottom w:val="dotted" w:sz="4" w:space="0" w:color="auto"/>
                    <w:right w:val="dotted" w:sz="4" w:space="0" w:color="auto"/>
                  </w:tcBorders>
                  <w:tcMar>
                    <w:top w:w="57" w:type="dxa"/>
                    <w:left w:w="113" w:type="dxa"/>
                    <w:bottom w:w="57" w:type="dxa"/>
                    <w:right w:w="113" w:type="dxa"/>
                  </w:tcMar>
                  <w:hideMark/>
                </w:tcPr>
                <w:p w14:paraId="05DAF394"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188 </w:t>
                  </w:r>
                </w:p>
              </w:tc>
              <w:tc>
                <w:tcPr>
                  <w:tcW w:w="3289" w:type="dxa"/>
                  <w:gridSpan w:val="3"/>
                  <w:tcBorders>
                    <w:top w:val="dotted" w:sz="4" w:space="0" w:color="auto"/>
                    <w:left w:val="dotted" w:sz="4" w:space="0" w:color="auto"/>
                    <w:bottom w:val="dotted" w:sz="4" w:space="0" w:color="auto"/>
                    <w:right w:val="single" w:sz="4" w:space="0" w:color="auto"/>
                  </w:tcBorders>
                  <w:tcMar>
                    <w:top w:w="57" w:type="dxa"/>
                    <w:left w:w="113" w:type="dxa"/>
                    <w:bottom w:w="57" w:type="dxa"/>
                    <w:right w:w="113" w:type="dxa"/>
                  </w:tcMar>
                  <w:hideMark/>
                </w:tcPr>
                <w:p w14:paraId="3BBF25D8"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96 </w:t>
                  </w:r>
                </w:p>
              </w:tc>
            </w:tr>
            <w:tr w:rsidR="00140366" w:rsidRPr="005978AF" w14:paraId="1A3D6167" w14:textId="77777777" w:rsidTr="00A24CD6">
              <w:tc>
                <w:tcPr>
                  <w:tcW w:w="2708" w:type="dxa"/>
                  <w:tcBorders>
                    <w:top w:val="dotted" w:sz="4" w:space="0" w:color="auto"/>
                    <w:left w:val="single" w:sz="4" w:space="0" w:color="auto"/>
                    <w:bottom w:val="dotted" w:sz="4" w:space="0" w:color="auto"/>
                    <w:right w:val="dotted" w:sz="4" w:space="0" w:color="auto"/>
                  </w:tcBorders>
                  <w:tcMar>
                    <w:top w:w="57" w:type="dxa"/>
                    <w:left w:w="113" w:type="dxa"/>
                    <w:bottom w:w="57" w:type="dxa"/>
                    <w:right w:w="113" w:type="dxa"/>
                  </w:tcMar>
                  <w:hideMark/>
                </w:tcPr>
                <w:p w14:paraId="5315AF0D"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R</w:t>
                  </w:r>
                  <w:r w:rsidRPr="005978AF">
                    <w:rPr>
                      <w:rFonts w:eastAsia="Times New Roman" w:cs="Arial"/>
                      <w:sz w:val="22"/>
                      <w:szCs w:val="22"/>
                      <w:vertAlign w:val="superscript"/>
                    </w:rPr>
                    <w:t>2</w:t>
                  </w:r>
                  <w:r w:rsidRPr="005978AF">
                    <w:rPr>
                      <w:rFonts w:eastAsia="Times New Roman" w:cs="Arial"/>
                      <w:sz w:val="22"/>
                      <w:szCs w:val="22"/>
                    </w:rPr>
                    <w:t xml:space="preserve"> Tjur </w:t>
                  </w:r>
                </w:p>
              </w:tc>
              <w:tc>
                <w:tcPr>
                  <w:tcW w:w="3353" w:type="dxa"/>
                  <w:gridSpan w:val="3"/>
                  <w:tcBorders>
                    <w:top w:val="dotted" w:sz="4" w:space="0" w:color="auto"/>
                    <w:left w:val="dotted" w:sz="4" w:space="0" w:color="auto"/>
                    <w:bottom w:val="dotted" w:sz="4" w:space="0" w:color="auto"/>
                    <w:right w:val="dotted" w:sz="4" w:space="0" w:color="auto"/>
                  </w:tcBorders>
                  <w:tcMar>
                    <w:top w:w="57" w:type="dxa"/>
                    <w:left w:w="113" w:type="dxa"/>
                    <w:bottom w:w="57" w:type="dxa"/>
                    <w:right w:w="113" w:type="dxa"/>
                  </w:tcMar>
                  <w:hideMark/>
                </w:tcPr>
                <w:p w14:paraId="01E96E54"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0.196 </w:t>
                  </w:r>
                </w:p>
              </w:tc>
              <w:tc>
                <w:tcPr>
                  <w:tcW w:w="3289" w:type="dxa"/>
                  <w:gridSpan w:val="3"/>
                  <w:tcBorders>
                    <w:top w:val="dotted" w:sz="4" w:space="0" w:color="auto"/>
                    <w:left w:val="dotted" w:sz="4" w:space="0" w:color="auto"/>
                    <w:bottom w:val="dotted" w:sz="4" w:space="0" w:color="auto"/>
                    <w:right w:val="single" w:sz="4" w:space="0" w:color="auto"/>
                  </w:tcBorders>
                  <w:tcMar>
                    <w:top w:w="57" w:type="dxa"/>
                    <w:left w:w="113" w:type="dxa"/>
                    <w:bottom w:w="57" w:type="dxa"/>
                    <w:right w:w="113" w:type="dxa"/>
                  </w:tcMar>
                  <w:hideMark/>
                </w:tcPr>
                <w:p w14:paraId="733A2F81"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0.293 </w:t>
                  </w:r>
                </w:p>
              </w:tc>
            </w:tr>
            <w:tr w:rsidR="00140366" w:rsidRPr="005978AF" w14:paraId="074219DD" w14:textId="77777777" w:rsidTr="00A24CD6">
              <w:tc>
                <w:tcPr>
                  <w:tcW w:w="2708" w:type="dxa"/>
                  <w:tcBorders>
                    <w:top w:val="dotted" w:sz="4" w:space="0" w:color="auto"/>
                    <w:left w:val="single" w:sz="4" w:space="0" w:color="auto"/>
                    <w:bottom w:val="single" w:sz="4" w:space="0" w:color="auto"/>
                    <w:right w:val="dotted" w:sz="4" w:space="0" w:color="auto"/>
                  </w:tcBorders>
                  <w:tcMar>
                    <w:top w:w="57" w:type="dxa"/>
                    <w:left w:w="113" w:type="dxa"/>
                    <w:bottom w:w="57" w:type="dxa"/>
                    <w:right w:w="113" w:type="dxa"/>
                  </w:tcMar>
                  <w:hideMark/>
                </w:tcPr>
                <w:p w14:paraId="3FCE6849"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AIC </w:t>
                  </w:r>
                </w:p>
              </w:tc>
              <w:tc>
                <w:tcPr>
                  <w:tcW w:w="3353" w:type="dxa"/>
                  <w:gridSpan w:val="3"/>
                  <w:tcBorders>
                    <w:top w:val="dotted" w:sz="4" w:space="0" w:color="auto"/>
                    <w:left w:val="dotted" w:sz="4" w:space="0" w:color="auto"/>
                    <w:bottom w:val="single" w:sz="4" w:space="0" w:color="auto"/>
                    <w:right w:val="dotted" w:sz="4" w:space="0" w:color="auto"/>
                  </w:tcBorders>
                  <w:tcMar>
                    <w:top w:w="57" w:type="dxa"/>
                    <w:left w:w="113" w:type="dxa"/>
                    <w:bottom w:w="57" w:type="dxa"/>
                    <w:right w:w="113" w:type="dxa"/>
                  </w:tcMar>
                  <w:hideMark/>
                </w:tcPr>
                <w:p w14:paraId="6C839760"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189.909 </w:t>
                  </w:r>
                </w:p>
              </w:tc>
              <w:tc>
                <w:tcPr>
                  <w:tcW w:w="3289" w:type="dxa"/>
                  <w:gridSpan w:val="3"/>
                  <w:tcBorders>
                    <w:top w:val="dotted" w:sz="4" w:space="0" w:color="auto"/>
                    <w:left w:val="dotted" w:sz="4" w:space="0" w:color="auto"/>
                    <w:bottom w:val="single" w:sz="4" w:space="0" w:color="auto"/>
                    <w:right w:val="single" w:sz="4" w:space="0" w:color="auto"/>
                  </w:tcBorders>
                  <w:tcMar>
                    <w:top w:w="57" w:type="dxa"/>
                    <w:left w:w="113" w:type="dxa"/>
                    <w:bottom w:w="57" w:type="dxa"/>
                    <w:right w:w="113" w:type="dxa"/>
                  </w:tcMar>
                  <w:hideMark/>
                </w:tcPr>
                <w:p w14:paraId="0F533C6F" w14:textId="77777777" w:rsidR="00140366" w:rsidRPr="005978AF" w:rsidRDefault="00140366" w:rsidP="00A24CD6">
                  <w:pPr>
                    <w:spacing w:after="0" w:line="240" w:lineRule="auto"/>
                    <w:rPr>
                      <w:rFonts w:eastAsia="Times New Roman" w:cs="Arial"/>
                      <w:sz w:val="22"/>
                      <w:szCs w:val="22"/>
                    </w:rPr>
                  </w:pPr>
                  <w:r w:rsidRPr="005978AF">
                    <w:rPr>
                      <w:rFonts w:eastAsia="Times New Roman" w:cs="Arial"/>
                      <w:sz w:val="22"/>
                      <w:szCs w:val="22"/>
                    </w:rPr>
                    <w:t xml:space="preserve">106.513 </w:t>
                  </w:r>
                </w:p>
              </w:tc>
            </w:tr>
          </w:tbl>
          <w:p w14:paraId="0DE6D4DB" w14:textId="77777777" w:rsidR="00140366" w:rsidRDefault="00140366" w:rsidP="00A24CD6">
            <w:pPr>
              <w:pStyle w:val="Compact"/>
              <w:jc w:val="center"/>
            </w:pPr>
          </w:p>
        </w:tc>
      </w:tr>
    </w:tbl>
    <w:p w14:paraId="63329680" w14:textId="77777777" w:rsidR="00140366" w:rsidRDefault="00140366">
      <w:pPr>
        <w:pStyle w:val="BodyText"/>
      </w:pPr>
    </w:p>
    <w:p w14:paraId="1C337A1A" w14:textId="77777777" w:rsidR="00B37F15" w:rsidRDefault="00000000">
      <w:pPr>
        <w:pStyle w:val="Heading3"/>
      </w:pPr>
      <w:bookmarkStart w:id="14" w:name="guadeloupe-mosquito-virus"/>
      <w:bookmarkEnd w:id="12"/>
      <w:r>
        <w:t>Guadeloupe mosquito virus</w:t>
      </w:r>
    </w:p>
    <w:p w14:paraId="7DDFED77" w14:textId="77777777" w:rsidR="00B37F15" w:rsidRDefault="00000000">
      <w:pPr>
        <w:pStyle w:val="FirstParagraph"/>
      </w:pPr>
      <w:r>
        <w:t xml:space="preserve">Guadeloupe mosquito virus (GMV) is two-segmented positive sense single-stranded (ss) RNA virus similar to viruses in the </w:t>
      </w:r>
      <w:r>
        <w:rPr>
          <w:i/>
          <w:iCs/>
        </w:rPr>
        <w:t>Solemoviridae</w:t>
      </w:r>
      <w:r>
        <w:t xml:space="preserve"> family (16, 17, 54–57). GMV has been detected in </w:t>
      </w:r>
      <w:r>
        <w:rPr>
          <w:i/>
          <w:iCs/>
        </w:rPr>
        <w:t>Aedes</w:t>
      </w:r>
      <w:r>
        <w:t xml:space="preserve"> and other mosquito species and appears to have a global distribution. GMV was detected in both the Poza Rica and Tapachula colonies by metagenomic sequencing (</w:t>
      </w:r>
      <w:hyperlink w:anchor="tbl-metagenomics">
        <w:r w:rsidR="00B37F15">
          <w:rPr>
            <w:rStyle w:val="Hyperlink"/>
            <w:b/>
            <w:bCs/>
          </w:rPr>
          <w:t>Table 1</w:t>
        </w:r>
      </w:hyperlink>
      <w:r>
        <w:t>).</w:t>
      </w:r>
    </w:p>
    <w:p w14:paraId="12A5ED03" w14:textId="03B496A7" w:rsidR="00B37F15" w:rsidRDefault="00000000">
      <w:pPr>
        <w:pStyle w:val="BodyText"/>
      </w:pPr>
      <w:r>
        <w:t>All tested Poza Rica adults were positive for GMV RNA, and RNA levels were very high in individual mosquitoes: 3174.4× the level of actin mRNA on average (</w:t>
      </w:r>
      <w:hyperlink w:anchor="fig-gmv">
        <w:r w:rsidR="00B37F15">
          <w:rPr>
            <w:rStyle w:val="Hyperlink"/>
            <w:b/>
            <w:bCs/>
          </w:rPr>
          <w:t>Figure 3</w:t>
        </w:r>
      </w:hyperlink>
      <w:r>
        <w:t>). Tapachula adults were also mostly infected: 20/24 (83%) tested positive (</w:t>
      </w:r>
      <w:hyperlink w:anchor="suppfig-gmv">
        <w:r w:rsidR="00B37F15">
          <w:rPr>
            <w:rStyle w:val="Hyperlink"/>
            <w:b/>
            <w:bCs/>
          </w:rPr>
          <w:t>Supplemental Figure 4</w:t>
        </w:r>
      </w:hyperlink>
      <w:r>
        <w:t>). But GMV RNA levels were more variable in the Tapachula adults, with substantially lower levels in some positive mosquitoes (</w:t>
      </w:r>
      <w:hyperlink w:anchor="suppfig-gmv">
        <w:r w:rsidR="00B37F15">
          <w:rPr>
            <w:rStyle w:val="Hyperlink"/>
            <w:b/>
            <w:bCs/>
          </w:rPr>
          <w:t>Supplemental Figure 4</w:t>
        </w:r>
      </w:hyperlink>
      <w:r>
        <w:t>). Unexpectedly, some New Orleans and Vergel adults tested positive for GMV: 15/47 (32%) and 32/48 (67%), respectively. This was unexpected because no GMV-mapping reads were detected by metagenomics in these colonies. The lack of detection of GMV in these colonies by metagenomic likely reflects the low RNA levels in infected mosquitoes (</w:t>
      </w:r>
      <w:hyperlink w:anchor="fig-gmv">
        <w:r w:rsidR="00B37F15">
          <w:rPr>
            <w:rStyle w:val="Hyperlink"/>
            <w:b/>
            <w:bCs/>
          </w:rPr>
          <w:t>Figure 3</w:t>
        </w:r>
      </w:hyperlink>
      <w:r>
        <w:t xml:space="preserve">). We performed qPCR without reverse transcription to </w:t>
      </w:r>
      <w:commentRangeStart w:id="15"/>
      <w:r>
        <w:t xml:space="preserve">confirm that low-level detection did not result from transcription of a GMV-like endogenized viral sequence </w:t>
      </w:r>
      <w:commentRangeEnd w:id="15"/>
      <w:r w:rsidR="00B122F3">
        <w:rPr>
          <w:rStyle w:val="CommentReference"/>
          <w:sz w:val="22"/>
          <w:szCs w:val="24"/>
        </w:rPr>
        <w:commentReference w:id="15"/>
      </w:r>
      <w:r>
        <w:t xml:space="preserve">(49, 50). We confirmed the identity of the GMV PCR product by melting temperature, agarose gel electropheresis, and Sanger sequencing. The presence of </w:t>
      </w:r>
      <w:r>
        <w:lastRenderedPageBreak/>
        <w:t>GMV in all parental populations meant that it was not possible to definitively determine whether infection in offspring derived from maternal or paternal transmission. However, the much more highly infected Poza Rica and Tapachula parents were the likely source of infection.</w:t>
      </w:r>
    </w:p>
    <w:p w14:paraId="02824C75" w14:textId="77777777" w:rsidR="00B37F15" w:rsidRDefault="00000000">
      <w:pPr>
        <w:pStyle w:val="BodyText"/>
      </w:pPr>
      <w:r>
        <w:t>Transmission of GMV from infected Poza Rica parents was efficient. 96/96 (100%) and 87/92 (95%) of offspring of Poza Rica mothers and fathers tested positive for GMV RNA. In both cases infected offspring exhibited a wide range of GMV RNA levels (</w:t>
      </w:r>
      <w:hyperlink w:anchor="fig-gmv">
        <w:r w:rsidR="00B37F15">
          <w:rPr>
            <w:rStyle w:val="Hyperlink"/>
            <w:b/>
            <w:bCs/>
          </w:rPr>
          <w:t>Figure 3</w:t>
        </w:r>
      </w:hyperlink>
      <w:r>
        <w:t>). GMV was at lower prevalence and RNA levels in parental Tapachula mosquitoes, and, accordingly, fewer offspring of Tapachula parents were infected. 88/96 (92%) and 42/92 (46%) offspring of Tapachula mothers and fathers were positive for GMV, respectively (</w:t>
      </w:r>
      <w:hyperlink w:anchor="suppfig-gmv">
        <w:r w:rsidR="00B37F15">
          <w:rPr>
            <w:rStyle w:val="Hyperlink"/>
            <w:b/>
            <w:bCs/>
          </w:rPr>
          <w:t>Supplemental Figure 4</w:t>
        </w:r>
      </w:hyperlink>
      <w:r>
        <w:t>).</w:t>
      </w:r>
    </w:p>
    <w:p w14:paraId="5BBBD91A" w14:textId="77777777" w:rsidR="00B37F15" w:rsidRDefault="00000000">
      <w:pPr>
        <w:pStyle w:val="BodyText"/>
      </w:pPr>
      <w:r>
        <w:t>We modeled GMV transmission as we had for other viruses (</w:t>
      </w:r>
      <w:hyperlink w:anchor="tbl-gmv-model">
        <w:r w:rsidR="00B37F15">
          <w:rPr>
            <w:rStyle w:val="Hyperlink"/>
            <w:b/>
            <w:bCs/>
          </w:rPr>
          <w:t>Table 4</w:t>
        </w:r>
      </w:hyperlink>
      <w:r>
        <w:t>). GMV models included an additional term corresponding to the highly-infected parental colony: Poza Rica vs. Tapachula. This term captured possible differences in parental host genetics and differences in starting prevalence and viral loads between these colonies (</w:t>
      </w:r>
      <w:hyperlink w:anchor="fig-gmv">
        <w:r w:rsidR="00B37F15">
          <w:rPr>
            <w:rStyle w:val="Hyperlink"/>
            <w:b/>
            <w:bCs/>
          </w:rPr>
          <w:t>Figure 3</w:t>
        </w:r>
      </w:hyperlink>
      <w:r>
        <w:t xml:space="preserve">, </w:t>
      </w:r>
      <w:hyperlink w:anchor="suppfig-gmv">
        <w:r w:rsidR="00B37F15">
          <w:rPr>
            <w:rStyle w:val="Hyperlink"/>
            <w:b/>
            <w:bCs/>
          </w:rPr>
          <w:t>Supplemental Figure 4</w:t>
        </w:r>
      </w:hyperlink>
      <w:r>
        <w:t>). In the vertical transmission model, transmission from highly infected mothers was more efficient (p = 2.7×10</w:t>
      </w:r>
      <w:r>
        <w:rPr>
          <w:vertAlign w:val="superscript"/>
        </w:rPr>
        <w:t>-10</w:t>
      </w:r>
      <w:r>
        <w:t>), and transmission from Poza Rica crosses was more efficient than Tapachula crosses, likely reflecting higher GMV starting prevalence and RNA levels in the Poza Rica population (p = 2.5×10</w:t>
      </w:r>
      <w:r>
        <w:rPr>
          <w:vertAlign w:val="superscript"/>
        </w:rPr>
        <w:t>-10</w:t>
      </w:r>
      <w:r>
        <w:t>).</w:t>
      </w:r>
    </w:p>
    <w:p w14:paraId="5084A7EB" w14:textId="77777777" w:rsidR="00B37F15" w:rsidRDefault="00000000">
      <w:pPr>
        <w:pStyle w:val="BodyText"/>
      </w:pPr>
      <w:r>
        <w:t>The impact of cohabitation and mating on GMV prevalence in New Orleans and Vergel adults was variable (</w:t>
      </w:r>
      <w:hyperlink w:anchor="fig-gmv">
        <w:r w:rsidR="00B37F15">
          <w:rPr>
            <w:rStyle w:val="Hyperlink"/>
            <w:b/>
            <w:bCs/>
          </w:rPr>
          <w:t>Figure 3</w:t>
        </w:r>
      </w:hyperlink>
      <w:r>
        <w:t xml:space="preserve">, </w:t>
      </w:r>
      <w:hyperlink w:anchor="suppfig-gmv">
        <w:r w:rsidR="00B37F15">
          <w:rPr>
            <w:rStyle w:val="Hyperlink"/>
            <w:b/>
            <w:bCs/>
          </w:rPr>
          <w:t>Supplemental Figure 4</w:t>
        </w:r>
      </w:hyperlink>
      <w:r>
        <w:t>). The GMV horizontal transmission model that included replicate as a random effect was better fitting than the fixed effect only model, reflecting increased variance in prevalence between replicate crosses (</w:t>
      </w:r>
      <w:hyperlink w:anchor="fig-gmv">
        <w:r w:rsidR="00B37F15">
          <w:rPr>
            <w:rStyle w:val="Hyperlink"/>
            <w:b/>
            <w:bCs/>
          </w:rPr>
          <w:t>Figure 3</w:t>
        </w:r>
      </w:hyperlink>
      <w:r>
        <w:t xml:space="preserve">, </w:t>
      </w:r>
      <w:hyperlink w:anchor="suppfig-gmv">
        <w:r w:rsidR="00B37F15">
          <w:rPr>
            <w:rStyle w:val="Hyperlink"/>
            <w:b/>
            <w:bCs/>
          </w:rPr>
          <w:t>Supplemental Figure 4</w:t>
        </w:r>
      </w:hyperlink>
      <w:r>
        <w:t>). New Orleans and Vergel females were more likely to test positive for GMV following cohabitation, again reflecting sexual transmission as a candidate route of exposure (</w:t>
      </w:r>
      <w:hyperlink w:anchor="tbl-gmv-model">
        <w:r w:rsidR="00B37F15">
          <w:rPr>
            <w:rStyle w:val="Hyperlink"/>
            <w:b/>
            <w:bCs/>
          </w:rPr>
          <w:t>Table 4</w:t>
        </w:r>
      </w:hyperlink>
      <w:r>
        <w:t>; p = 6.8×10</w:t>
      </w:r>
      <w:r>
        <w:rPr>
          <w:vertAlign w:val="superscript"/>
        </w:rPr>
        <w:t>-3</w:t>
      </w:r>
      <w:r>
        <w:t>). Cohabitaing mosquitoes were also more likely to test positive following exposure to Poza Rica adults (</w:t>
      </w:r>
      <w:hyperlink w:anchor="tbl-gmv-model">
        <w:r w:rsidR="00B37F15">
          <w:rPr>
            <w:rStyle w:val="Hyperlink"/>
            <w:b/>
            <w:bCs/>
          </w:rPr>
          <w:t>Table 4</w:t>
        </w:r>
      </w:hyperlink>
      <w:r>
        <w:t>; p = 1.3×10</w:t>
      </w:r>
      <w:r>
        <w:rPr>
          <w:vertAlign w:val="superscript"/>
        </w:rPr>
        <w:t>-6</w:t>
      </w:r>
      <w:r>
        <w:t>).</w:t>
      </w:r>
    </w:p>
    <w:tbl>
      <w:tblPr>
        <w:tblStyle w:val="Table"/>
        <w:tblW w:w="4900" w:type="pct"/>
        <w:tblLayout w:type="fixed"/>
        <w:tblLook w:val="0000" w:firstRow="0" w:lastRow="0" w:firstColumn="0" w:lastColumn="0" w:noHBand="0" w:noVBand="0"/>
      </w:tblPr>
      <w:tblGrid>
        <w:gridCol w:w="9173"/>
      </w:tblGrid>
      <w:tr w:rsidR="00B37F15" w14:paraId="5E60B6D7" w14:textId="77777777">
        <w:tc>
          <w:tcPr>
            <w:tcW w:w="7761" w:type="dxa"/>
          </w:tcPr>
          <w:p w14:paraId="0C2ABB51" w14:textId="77777777" w:rsidR="00B37F15" w:rsidRDefault="00000000">
            <w:pPr>
              <w:jc w:val="center"/>
            </w:pPr>
            <w:bookmarkStart w:id="16" w:name="fig-gmv"/>
            <w:r>
              <w:rPr>
                <w:noProof/>
              </w:rPr>
              <w:lastRenderedPageBreak/>
              <w:drawing>
                <wp:inline distT="0" distB="0" distL="0" distR="0" wp14:anchorId="2522E884" wp14:editId="5538224C">
                  <wp:extent cx="5761822" cy="4450321"/>
                  <wp:effectExtent l="0" t="0" r="4445"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Poza_Rica_x_New_Orleans_Guadeloupe_Mosquito_Virus.png"/>
                          <pic:cNvPicPr>
                            <a:picLocks noChangeAspect="1" noChangeArrowheads="1"/>
                          </pic:cNvPicPr>
                        </pic:nvPicPr>
                        <pic:blipFill>
                          <a:blip r:embed="rId16"/>
                          <a:stretch>
                            <a:fillRect/>
                          </a:stretch>
                        </pic:blipFill>
                        <pic:spPr bwMode="auto">
                          <a:xfrm>
                            <a:off x="0" y="0"/>
                            <a:ext cx="5767858" cy="4454983"/>
                          </a:xfrm>
                          <a:prstGeom prst="rect">
                            <a:avLst/>
                          </a:prstGeom>
                          <a:noFill/>
                          <a:ln w="9525">
                            <a:noFill/>
                            <a:headEnd/>
                            <a:tailEnd/>
                          </a:ln>
                        </pic:spPr>
                      </pic:pic>
                    </a:graphicData>
                  </a:graphic>
                </wp:inline>
              </w:drawing>
            </w:r>
          </w:p>
        </w:tc>
      </w:tr>
    </w:tbl>
    <w:p w14:paraId="3F533A96" w14:textId="77777777" w:rsidR="00B37F15" w:rsidRDefault="00B37F15">
      <w:pPr>
        <w:framePr w:h="0" w:wrap="auto" w:hAnchor="margin" w:xAlign="right" w:yAlign="top"/>
      </w:pPr>
    </w:p>
    <w:tbl>
      <w:tblPr>
        <w:tblStyle w:val="Table"/>
        <w:tblW w:w="4900" w:type="pct"/>
        <w:tblLayout w:type="fixed"/>
        <w:tblLook w:val="0000" w:firstRow="0" w:lastRow="0" w:firstColumn="0" w:lastColumn="0" w:noHBand="0" w:noVBand="0"/>
      </w:tblPr>
      <w:tblGrid>
        <w:gridCol w:w="9173"/>
      </w:tblGrid>
      <w:tr w:rsidR="00B37F15" w14:paraId="2327985C" w14:textId="77777777">
        <w:tc>
          <w:tcPr>
            <w:tcW w:w="7761" w:type="dxa"/>
          </w:tcPr>
          <w:p w14:paraId="76FB5638" w14:textId="77777777" w:rsidR="00B37F15" w:rsidRDefault="00000000">
            <w:pPr>
              <w:jc w:val="center"/>
            </w:pPr>
            <w:r>
              <w:rPr>
                <w:noProof/>
              </w:rPr>
              <w:lastRenderedPageBreak/>
              <w:drawing>
                <wp:inline distT="0" distB="0" distL="0" distR="0" wp14:anchorId="50012BEE" wp14:editId="6D7E5F2F">
                  <wp:extent cx="5762460" cy="4450814"/>
                  <wp:effectExtent l="0" t="0" r="381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Poza_Rica_x_Vergel_Guadeloupe_mosquito_Virus.png"/>
                          <pic:cNvPicPr>
                            <a:picLocks noChangeAspect="1" noChangeArrowheads="1"/>
                          </pic:cNvPicPr>
                        </pic:nvPicPr>
                        <pic:blipFill>
                          <a:blip r:embed="rId17"/>
                          <a:stretch>
                            <a:fillRect/>
                          </a:stretch>
                        </pic:blipFill>
                        <pic:spPr bwMode="auto">
                          <a:xfrm>
                            <a:off x="0" y="0"/>
                            <a:ext cx="5774186" cy="4459871"/>
                          </a:xfrm>
                          <a:prstGeom prst="rect">
                            <a:avLst/>
                          </a:prstGeom>
                          <a:noFill/>
                          <a:ln w="9525">
                            <a:noFill/>
                            <a:headEnd/>
                            <a:tailEnd/>
                          </a:ln>
                        </pic:spPr>
                      </pic:pic>
                    </a:graphicData>
                  </a:graphic>
                </wp:inline>
              </w:drawing>
            </w:r>
          </w:p>
        </w:tc>
      </w:tr>
    </w:tbl>
    <w:p w14:paraId="410CB832" w14:textId="77777777" w:rsidR="00B37F15" w:rsidRDefault="00000000">
      <w:pPr>
        <w:pStyle w:val="ImageCaption"/>
        <w:spacing w:before="200"/>
      </w:pPr>
      <w:r>
        <w:t>Figure 3: Prevalence and transmission of Guadeloupe mosquito virus from crosses involving Poza Rica parents. Upper panels show prevalence of GMV in different populations of parental and offspring mosquitoes. Error bars indicate binomial 95% confidence intervals. Lower panels show levels of GMV RNA detected by RT-qPCR in individual mosquitoes normalized to levels of actin mRNA. Values for uninfected mosquitoes are plotted in grey on the lowest Y axis position. Rep refers to replicate crosses. (A) Crosses between mosquitoes from the Poza Rica colony and the New Orleans colony. (B) Crosses between mosquitoes from the Poza Rica colony and the Vergel colony. The same data for parental Poza Rica is shown in upper and lower panels. Infected mothers and infected fathers refers to the sex of the much more highly infected parents from the Poza Rica population.</w:t>
      </w:r>
    </w:p>
    <w:bookmarkEnd w:id="16"/>
    <w:p w14:paraId="2003278A" w14:textId="77777777" w:rsidR="00B37F15" w:rsidRDefault="00000000">
      <w:pPr>
        <w:pStyle w:val="BodyText"/>
      </w:pPr>
      <w:r>
        <w:t xml:space="preserve"> </w:t>
      </w:r>
    </w:p>
    <w:tbl>
      <w:tblPr>
        <w:tblStyle w:val="Table"/>
        <w:tblW w:w="4900" w:type="pct"/>
        <w:tblLayout w:type="fixed"/>
        <w:tblLook w:val="0000" w:firstRow="0" w:lastRow="0" w:firstColumn="0" w:lastColumn="0" w:noHBand="0" w:noVBand="0"/>
      </w:tblPr>
      <w:tblGrid>
        <w:gridCol w:w="9173"/>
      </w:tblGrid>
      <w:tr w:rsidR="00B37F15" w14:paraId="7B703D03" w14:textId="77777777">
        <w:tc>
          <w:tcPr>
            <w:tcW w:w="7761" w:type="dxa"/>
          </w:tcPr>
          <w:p w14:paraId="341096A6" w14:textId="77777777" w:rsidR="00B37F15" w:rsidRDefault="00000000">
            <w:pPr>
              <w:jc w:val="center"/>
            </w:pPr>
            <w:bookmarkStart w:id="17" w:name="suppfig-gmv"/>
            <w:r>
              <w:rPr>
                <w:noProof/>
              </w:rPr>
              <w:lastRenderedPageBreak/>
              <w:drawing>
                <wp:inline distT="0" distB="0" distL="0" distR="0" wp14:anchorId="74AED379" wp14:editId="02C25594">
                  <wp:extent cx="5762460" cy="4450814"/>
                  <wp:effectExtent l="0" t="0" r="381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Tapachula_x_New_Orleans_Guadeloupe_Mosquito_Virus.png"/>
                          <pic:cNvPicPr>
                            <a:picLocks noChangeAspect="1" noChangeArrowheads="1"/>
                          </pic:cNvPicPr>
                        </pic:nvPicPr>
                        <pic:blipFill>
                          <a:blip r:embed="rId18"/>
                          <a:stretch>
                            <a:fillRect/>
                          </a:stretch>
                        </pic:blipFill>
                        <pic:spPr bwMode="auto">
                          <a:xfrm>
                            <a:off x="0" y="0"/>
                            <a:ext cx="5768928" cy="4455809"/>
                          </a:xfrm>
                          <a:prstGeom prst="rect">
                            <a:avLst/>
                          </a:prstGeom>
                          <a:noFill/>
                          <a:ln w="9525">
                            <a:noFill/>
                            <a:headEnd/>
                            <a:tailEnd/>
                          </a:ln>
                        </pic:spPr>
                      </pic:pic>
                    </a:graphicData>
                  </a:graphic>
                </wp:inline>
              </w:drawing>
            </w:r>
          </w:p>
        </w:tc>
      </w:tr>
    </w:tbl>
    <w:p w14:paraId="1BE18CB6" w14:textId="77777777" w:rsidR="00B37F15" w:rsidRDefault="00B37F15">
      <w:pPr>
        <w:framePr w:h="0" w:wrap="auto" w:hAnchor="margin" w:xAlign="right" w:yAlign="top"/>
      </w:pPr>
    </w:p>
    <w:tbl>
      <w:tblPr>
        <w:tblStyle w:val="Table"/>
        <w:tblW w:w="4900" w:type="pct"/>
        <w:tblLayout w:type="fixed"/>
        <w:tblLook w:val="0000" w:firstRow="0" w:lastRow="0" w:firstColumn="0" w:lastColumn="0" w:noHBand="0" w:noVBand="0"/>
      </w:tblPr>
      <w:tblGrid>
        <w:gridCol w:w="9173"/>
      </w:tblGrid>
      <w:tr w:rsidR="00B37F15" w14:paraId="441D7960" w14:textId="77777777">
        <w:tc>
          <w:tcPr>
            <w:tcW w:w="7761" w:type="dxa"/>
          </w:tcPr>
          <w:p w14:paraId="36DFD5E5" w14:textId="77777777" w:rsidR="00B37F15" w:rsidRDefault="00000000">
            <w:pPr>
              <w:jc w:val="center"/>
            </w:pPr>
            <w:r>
              <w:rPr>
                <w:noProof/>
              </w:rPr>
              <w:lastRenderedPageBreak/>
              <w:drawing>
                <wp:inline distT="0" distB="0" distL="0" distR="0" wp14:anchorId="310B94F9" wp14:editId="6A3641F5">
                  <wp:extent cx="5772839" cy="4458831"/>
                  <wp:effectExtent l="0" t="0" r="5715"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Tapachula_x_Vergel_Guadeloupe_mosquito_Virus.png"/>
                          <pic:cNvPicPr>
                            <a:picLocks noChangeAspect="1" noChangeArrowheads="1"/>
                          </pic:cNvPicPr>
                        </pic:nvPicPr>
                        <pic:blipFill>
                          <a:blip r:embed="rId19"/>
                          <a:stretch>
                            <a:fillRect/>
                          </a:stretch>
                        </pic:blipFill>
                        <pic:spPr bwMode="auto">
                          <a:xfrm>
                            <a:off x="0" y="0"/>
                            <a:ext cx="5780906" cy="4465062"/>
                          </a:xfrm>
                          <a:prstGeom prst="rect">
                            <a:avLst/>
                          </a:prstGeom>
                          <a:noFill/>
                          <a:ln w="9525">
                            <a:noFill/>
                            <a:headEnd/>
                            <a:tailEnd/>
                          </a:ln>
                        </pic:spPr>
                      </pic:pic>
                    </a:graphicData>
                  </a:graphic>
                </wp:inline>
              </w:drawing>
            </w:r>
          </w:p>
        </w:tc>
      </w:tr>
    </w:tbl>
    <w:p w14:paraId="39C620C8" w14:textId="77777777" w:rsidR="00B37F15" w:rsidRDefault="00000000">
      <w:pPr>
        <w:pStyle w:val="ImageCaption"/>
        <w:spacing w:before="200"/>
      </w:pPr>
      <w:r>
        <w:t xml:space="preserve">Supplemental Figure 4: Prevalence and transmission of Guadeloupe mosquito virus from crosses involving Tapachula colony parents. Upper panels show prevalence of GMV in different populations of parental and offspring mosquitoes. Error bars indicate binomial 95% confidence intervals. Lower panels show levels of GMV RNA detected by RT-qPCR in individual mosquitoes normalized to levels of actin mRNA. Values for uninfected mosquitoes are plotted in grey on the lowest Y axis position. Rep refers to replicate crosses. (A) Crosses between mosquitoes from the Tapachula colony and the New Orleans colony. (B) Crosses between mosquitoes from the Tapachula colony and the Vergel colony. Data for parental New Orleans and Vergel mosquitoes as in </w:t>
      </w:r>
      <w:hyperlink w:anchor="fig-gmv">
        <w:r w:rsidR="00B37F15">
          <w:rPr>
            <w:rStyle w:val="Hyperlink"/>
          </w:rPr>
          <w:t>Figure 3</w:t>
        </w:r>
      </w:hyperlink>
      <w:r>
        <w:t>. The same data for parental Tapachula is shown in upper and lower panels. Infected mothers and infected fathers refers to the sex of the much more highly infected parents from the Poza Rica population.</w:t>
      </w:r>
    </w:p>
    <w:bookmarkEnd w:id="17"/>
    <w:p w14:paraId="00E46862" w14:textId="77777777" w:rsidR="00B37F15" w:rsidRDefault="00000000">
      <w:pPr>
        <w:pStyle w:val="BodyText"/>
      </w:pPr>
      <w:r>
        <w:t xml:space="preserve"> </w:t>
      </w:r>
    </w:p>
    <w:p w14:paraId="36A8A320" w14:textId="77777777" w:rsidR="0052715E" w:rsidRDefault="0052715E">
      <w:bookmarkStart w:id="18" w:name="section"/>
      <w:bookmarkEnd w:id="14"/>
      <w:r>
        <w:br w:type="page"/>
      </w:r>
    </w:p>
    <w:tbl>
      <w:tblPr>
        <w:tblStyle w:val="Table"/>
        <w:tblW w:w="5000" w:type="pct"/>
        <w:tblLook w:val="0000" w:firstRow="0" w:lastRow="0" w:firstColumn="0" w:lastColumn="0" w:noHBand="0" w:noVBand="0"/>
      </w:tblPr>
      <w:tblGrid>
        <w:gridCol w:w="9360"/>
      </w:tblGrid>
      <w:tr w:rsidR="0052715E" w14:paraId="75585017" w14:textId="77777777" w:rsidTr="00A24CD6">
        <w:tc>
          <w:tcPr>
            <w:tcW w:w="7920" w:type="dxa"/>
          </w:tcPr>
          <w:p w14:paraId="5030BF68" w14:textId="14E1D4AD" w:rsidR="0052715E" w:rsidRDefault="0052715E" w:rsidP="00A24CD6">
            <w:pPr>
              <w:spacing w:line="240" w:lineRule="auto"/>
              <w:rPr>
                <w:rFonts w:ascii="Times New Roman" w:hAnsi="Times New Roman"/>
              </w:rPr>
            </w:pPr>
            <w:r w:rsidRPr="00745A34">
              <w:rPr>
                <w:b/>
                <w:bCs/>
              </w:rPr>
              <w:lastRenderedPageBreak/>
              <w:t>Table 4: Logistic regression model of GMV transmission</w:t>
            </w:r>
            <w:r>
              <w:t xml:space="preserve">. Main infected parent colony refers to the highly-infected parental colony: Poza Rica vs. Tapachula. Less infected parent colony reflects the parental colony with low-level infection: New Orleans vs. Vergel. The horizontal transmission model included replicate as a random effect. </w:t>
            </w:r>
          </w:p>
          <w:tbl>
            <w:tblPr>
              <w:tblW w:w="0" w:type="auto"/>
              <w:tblCellMar>
                <w:top w:w="15" w:type="dxa"/>
                <w:left w:w="15" w:type="dxa"/>
                <w:bottom w:w="15" w:type="dxa"/>
                <w:right w:w="15" w:type="dxa"/>
              </w:tblCellMar>
              <w:tblLook w:val="04A0" w:firstRow="1" w:lastRow="0" w:firstColumn="1" w:lastColumn="0" w:noHBand="0" w:noVBand="1"/>
            </w:tblPr>
            <w:tblGrid>
              <w:gridCol w:w="2083"/>
              <w:gridCol w:w="972"/>
              <w:gridCol w:w="1695"/>
              <w:gridCol w:w="906"/>
              <w:gridCol w:w="877"/>
              <w:gridCol w:w="1695"/>
              <w:gridCol w:w="906"/>
            </w:tblGrid>
            <w:tr w:rsidR="0052715E" w:rsidRPr="00745A34" w14:paraId="577976C0" w14:textId="77777777" w:rsidTr="00A24CD6">
              <w:trPr>
                <w:trHeight w:val="372"/>
              </w:trPr>
              <w:tc>
                <w:tcPr>
                  <w:tcW w:w="0" w:type="auto"/>
                  <w:tcBorders>
                    <w:top w:val="single" w:sz="4" w:space="0" w:color="auto"/>
                    <w:left w:val="single" w:sz="4" w:space="0" w:color="auto"/>
                    <w:right w:val="single" w:sz="4" w:space="0" w:color="auto"/>
                  </w:tcBorders>
                  <w:tcMar>
                    <w:top w:w="113" w:type="dxa"/>
                    <w:left w:w="113" w:type="dxa"/>
                    <w:bottom w:w="113" w:type="dxa"/>
                    <w:right w:w="113" w:type="dxa"/>
                  </w:tcMar>
                  <w:vAlign w:val="center"/>
                  <w:hideMark/>
                </w:tcPr>
                <w:p w14:paraId="792BC907" w14:textId="77777777" w:rsidR="0052715E" w:rsidRPr="00745A34" w:rsidRDefault="0052715E" w:rsidP="00A24CD6">
                  <w:pPr>
                    <w:spacing w:after="0"/>
                    <w:rPr>
                      <w:rFonts w:cs="Arial"/>
                      <w:b/>
                      <w:bCs/>
                      <w:sz w:val="22"/>
                      <w:szCs w:val="22"/>
                    </w:rPr>
                  </w:pPr>
                  <w:r w:rsidRPr="00745A34">
                    <w:rPr>
                      <w:rFonts w:cs="Arial"/>
                      <w:b/>
                      <w:bCs/>
                      <w:sz w:val="22"/>
                      <w:szCs w:val="22"/>
                    </w:rPr>
                    <w:t xml:space="preserve">  </w:t>
                  </w:r>
                </w:p>
              </w:tc>
              <w:tc>
                <w:tcPr>
                  <w:tcW w:w="0" w:type="auto"/>
                  <w:gridSpan w:val="3"/>
                  <w:tcBorders>
                    <w:top w:val="single" w:sz="4" w:space="0" w:color="auto"/>
                    <w:left w:val="single" w:sz="4" w:space="0" w:color="auto"/>
                    <w:right w:val="single" w:sz="4" w:space="0" w:color="auto"/>
                  </w:tcBorders>
                  <w:tcMar>
                    <w:top w:w="113" w:type="dxa"/>
                    <w:left w:w="113" w:type="dxa"/>
                    <w:bottom w:w="113" w:type="dxa"/>
                    <w:right w:w="113" w:type="dxa"/>
                  </w:tcMar>
                  <w:vAlign w:val="center"/>
                  <w:hideMark/>
                </w:tcPr>
                <w:p w14:paraId="1FCBFFFD" w14:textId="77777777" w:rsidR="0052715E" w:rsidRPr="00745A34" w:rsidRDefault="0052715E" w:rsidP="00A24CD6">
                  <w:pPr>
                    <w:spacing w:after="0"/>
                    <w:jc w:val="center"/>
                    <w:rPr>
                      <w:rFonts w:cs="Arial"/>
                      <w:b/>
                      <w:bCs/>
                      <w:sz w:val="22"/>
                      <w:szCs w:val="22"/>
                    </w:rPr>
                  </w:pPr>
                  <w:r w:rsidRPr="00745A34">
                    <w:rPr>
                      <w:rFonts w:cs="Arial"/>
                      <w:b/>
                      <w:bCs/>
                      <w:sz w:val="22"/>
                      <w:szCs w:val="22"/>
                    </w:rPr>
                    <w:t xml:space="preserve">Vertical transmission </w:t>
                  </w:r>
                </w:p>
              </w:tc>
              <w:tc>
                <w:tcPr>
                  <w:tcW w:w="0" w:type="auto"/>
                  <w:gridSpan w:val="3"/>
                  <w:tcBorders>
                    <w:top w:val="single" w:sz="4" w:space="0" w:color="auto"/>
                    <w:left w:val="single" w:sz="4" w:space="0" w:color="auto"/>
                    <w:right w:val="single" w:sz="4" w:space="0" w:color="auto"/>
                  </w:tcBorders>
                  <w:tcMar>
                    <w:top w:w="113" w:type="dxa"/>
                    <w:left w:w="113" w:type="dxa"/>
                    <w:bottom w:w="113" w:type="dxa"/>
                    <w:right w:w="113" w:type="dxa"/>
                  </w:tcMar>
                  <w:vAlign w:val="center"/>
                  <w:hideMark/>
                </w:tcPr>
                <w:p w14:paraId="70285CB5" w14:textId="77777777" w:rsidR="0052715E" w:rsidRPr="00745A34" w:rsidRDefault="0052715E" w:rsidP="00A24CD6">
                  <w:pPr>
                    <w:spacing w:after="0"/>
                    <w:jc w:val="center"/>
                    <w:rPr>
                      <w:rFonts w:cs="Arial"/>
                      <w:b/>
                      <w:bCs/>
                      <w:sz w:val="22"/>
                      <w:szCs w:val="22"/>
                    </w:rPr>
                  </w:pPr>
                  <w:r w:rsidRPr="00745A34">
                    <w:rPr>
                      <w:rFonts w:cs="Arial"/>
                      <w:b/>
                      <w:bCs/>
                      <w:sz w:val="22"/>
                      <w:szCs w:val="22"/>
                    </w:rPr>
                    <w:t xml:space="preserve">Horizontal transmission </w:t>
                  </w:r>
                </w:p>
              </w:tc>
            </w:tr>
            <w:tr w:rsidR="0052715E" w:rsidRPr="00745A34" w14:paraId="640D78B8" w14:textId="77777777" w:rsidTr="00A24CD6">
              <w:trPr>
                <w:trHeight w:val="750"/>
              </w:trPr>
              <w:tc>
                <w:tcPr>
                  <w:tcW w:w="0" w:type="auto"/>
                  <w:tcBorders>
                    <w:left w:val="single" w:sz="4" w:space="0" w:color="auto"/>
                    <w:bottom w:val="single" w:sz="4" w:space="0" w:color="auto"/>
                    <w:right w:val="single" w:sz="4" w:space="0" w:color="auto"/>
                  </w:tcBorders>
                  <w:vAlign w:val="center"/>
                  <w:hideMark/>
                </w:tcPr>
                <w:p w14:paraId="69CD8C46" w14:textId="77777777" w:rsidR="0052715E" w:rsidRPr="00745A34" w:rsidRDefault="0052715E" w:rsidP="00A24CD6">
                  <w:pPr>
                    <w:spacing w:after="0"/>
                    <w:rPr>
                      <w:rFonts w:cs="Arial"/>
                      <w:i/>
                      <w:iCs/>
                      <w:sz w:val="22"/>
                      <w:szCs w:val="22"/>
                    </w:rPr>
                  </w:pPr>
                  <w:r w:rsidRPr="00745A34">
                    <w:rPr>
                      <w:rFonts w:cs="Arial"/>
                      <w:i/>
                      <w:iCs/>
                      <w:sz w:val="22"/>
                      <w:szCs w:val="22"/>
                    </w:rPr>
                    <w:t xml:space="preserve">Predictors </w:t>
                  </w:r>
                </w:p>
              </w:tc>
              <w:tc>
                <w:tcPr>
                  <w:tcW w:w="0" w:type="auto"/>
                  <w:tcBorders>
                    <w:left w:val="single" w:sz="4" w:space="0" w:color="auto"/>
                    <w:bottom w:val="single" w:sz="4" w:space="0" w:color="auto"/>
                    <w:right w:val="dotted" w:sz="4" w:space="0" w:color="auto"/>
                  </w:tcBorders>
                  <w:vAlign w:val="center"/>
                  <w:hideMark/>
                </w:tcPr>
                <w:p w14:paraId="0D8B422F"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Odds Ratios </w:t>
                  </w:r>
                </w:p>
              </w:tc>
              <w:tc>
                <w:tcPr>
                  <w:tcW w:w="0" w:type="auto"/>
                  <w:tcBorders>
                    <w:left w:val="dotted" w:sz="4" w:space="0" w:color="auto"/>
                    <w:bottom w:val="single" w:sz="4" w:space="0" w:color="auto"/>
                    <w:right w:val="dotted" w:sz="4" w:space="0" w:color="auto"/>
                  </w:tcBorders>
                  <w:vAlign w:val="center"/>
                  <w:hideMark/>
                </w:tcPr>
                <w:p w14:paraId="3276B601"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CI </w:t>
                  </w:r>
                </w:p>
              </w:tc>
              <w:tc>
                <w:tcPr>
                  <w:tcW w:w="0" w:type="auto"/>
                  <w:tcBorders>
                    <w:left w:val="dotted" w:sz="4" w:space="0" w:color="auto"/>
                    <w:bottom w:val="single" w:sz="4" w:space="0" w:color="auto"/>
                    <w:right w:val="single" w:sz="4" w:space="0" w:color="auto"/>
                  </w:tcBorders>
                  <w:vAlign w:val="center"/>
                  <w:hideMark/>
                </w:tcPr>
                <w:p w14:paraId="0F310F4B"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p </w:t>
                  </w:r>
                </w:p>
              </w:tc>
              <w:tc>
                <w:tcPr>
                  <w:tcW w:w="0" w:type="auto"/>
                  <w:tcBorders>
                    <w:left w:val="single" w:sz="4" w:space="0" w:color="auto"/>
                    <w:bottom w:val="single" w:sz="4" w:space="0" w:color="auto"/>
                    <w:right w:val="dotted" w:sz="4" w:space="0" w:color="auto"/>
                  </w:tcBorders>
                  <w:vAlign w:val="center"/>
                  <w:hideMark/>
                </w:tcPr>
                <w:p w14:paraId="68247C4C"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Odds Ratios </w:t>
                  </w:r>
                </w:p>
              </w:tc>
              <w:tc>
                <w:tcPr>
                  <w:tcW w:w="0" w:type="auto"/>
                  <w:tcBorders>
                    <w:left w:val="dotted" w:sz="4" w:space="0" w:color="auto"/>
                    <w:bottom w:val="single" w:sz="4" w:space="0" w:color="auto"/>
                    <w:right w:val="dotted" w:sz="4" w:space="0" w:color="auto"/>
                  </w:tcBorders>
                  <w:vAlign w:val="center"/>
                  <w:hideMark/>
                </w:tcPr>
                <w:p w14:paraId="5AC15775"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CI </w:t>
                  </w:r>
                </w:p>
              </w:tc>
              <w:tc>
                <w:tcPr>
                  <w:tcW w:w="0" w:type="auto"/>
                  <w:tcBorders>
                    <w:left w:val="dotted" w:sz="4" w:space="0" w:color="auto"/>
                    <w:bottom w:val="single" w:sz="4" w:space="0" w:color="auto"/>
                    <w:right w:val="single" w:sz="4" w:space="0" w:color="auto"/>
                  </w:tcBorders>
                  <w:vAlign w:val="center"/>
                  <w:hideMark/>
                </w:tcPr>
                <w:p w14:paraId="46451A44" w14:textId="77777777" w:rsidR="0052715E" w:rsidRPr="00745A34" w:rsidRDefault="0052715E" w:rsidP="00A24CD6">
                  <w:pPr>
                    <w:spacing w:after="0"/>
                    <w:jc w:val="center"/>
                    <w:rPr>
                      <w:rFonts w:cs="Arial"/>
                      <w:i/>
                      <w:iCs/>
                      <w:sz w:val="22"/>
                      <w:szCs w:val="22"/>
                    </w:rPr>
                  </w:pPr>
                  <w:r w:rsidRPr="00745A34">
                    <w:rPr>
                      <w:rFonts w:cs="Arial"/>
                      <w:i/>
                      <w:iCs/>
                      <w:sz w:val="22"/>
                      <w:szCs w:val="22"/>
                    </w:rPr>
                    <w:t xml:space="preserve">p </w:t>
                  </w:r>
                </w:p>
              </w:tc>
            </w:tr>
            <w:tr w:rsidR="0052715E" w:rsidRPr="00745A34" w14:paraId="026C9828" w14:textId="77777777" w:rsidTr="00A24CD6">
              <w:trPr>
                <w:trHeight w:val="732"/>
              </w:trPr>
              <w:tc>
                <w:tcPr>
                  <w:tcW w:w="0" w:type="auto"/>
                  <w:tcBorders>
                    <w:top w:val="single" w:sz="4" w:space="0" w:color="auto"/>
                    <w:left w:val="single" w:sz="4" w:space="0" w:color="auto"/>
                    <w:bottom w:val="dotted" w:sz="4" w:space="0" w:color="auto"/>
                    <w:right w:val="single" w:sz="4" w:space="0" w:color="auto"/>
                  </w:tcBorders>
                  <w:tcMar>
                    <w:top w:w="113" w:type="dxa"/>
                    <w:left w:w="113" w:type="dxa"/>
                    <w:bottom w:w="113" w:type="dxa"/>
                    <w:right w:w="113" w:type="dxa"/>
                  </w:tcMar>
                  <w:hideMark/>
                </w:tcPr>
                <w:p w14:paraId="73DD18C3" w14:textId="77777777" w:rsidR="0052715E" w:rsidRPr="00745A34" w:rsidRDefault="0052715E" w:rsidP="00A24CD6">
                  <w:pPr>
                    <w:spacing w:after="0"/>
                    <w:rPr>
                      <w:rFonts w:cs="Arial"/>
                      <w:sz w:val="22"/>
                      <w:szCs w:val="22"/>
                    </w:rPr>
                  </w:pPr>
                  <w:r w:rsidRPr="00745A34">
                    <w:rPr>
                      <w:rFonts w:cs="Arial"/>
                      <w:sz w:val="22"/>
                      <w:szCs w:val="22"/>
                    </w:rPr>
                    <w:t xml:space="preserve">(Intercept) </w:t>
                  </w:r>
                </w:p>
              </w:tc>
              <w:tc>
                <w:tcPr>
                  <w:tcW w:w="0" w:type="auto"/>
                  <w:tcBorders>
                    <w:top w:val="single"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040BDC97" w14:textId="77777777" w:rsidR="0052715E" w:rsidRPr="00745A34" w:rsidRDefault="0052715E" w:rsidP="00A24CD6">
                  <w:pPr>
                    <w:spacing w:after="0"/>
                    <w:jc w:val="center"/>
                    <w:rPr>
                      <w:rFonts w:cs="Arial"/>
                      <w:sz w:val="22"/>
                      <w:szCs w:val="22"/>
                    </w:rPr>
                  </w:pPr>
                  <w:r w:rsidRPr="00745A34">
                    <w:rPr>
                      <w:rFonts w:cs="Arial"/>
                      <w:sz w:val="22"/>
                      <w:szCs w:val="22"/>
                    </w:rPr>
                    <w:t xml:space="preserve">194.16 </w:t>
                  </w:r>
                </w:p>
              </w:tc>
              <w:tc>
                <w:tcPr>
                  <w:tcW w:w="0" w:type="auto"/>
                  <w:tcBorders>
                    <w:top w:val="single"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61A47F9" w14:textId="77777777" w:rsidR="0052715E" w:rsidRPr="00745A34" w:rsidRDefault="0052715E" w:rsidP="00A24CD6">
                  <w:pPr>
                    <w:spacing w:after="0"/>
                    <w:jc w:val="center"/>
                    <w:rPr>
                      <w:rFonts w:cs="Arial"/>
                      <w:sz w:val="22"/>
                      <w:szCs w:val="22"/>
                    </w:rPr>
                  </w:pPr>
                  <w:r w:rsidRPr="00745A34">
                    <w:rPr>
                      <w:rFonts w:cs="Arial"/>
                      <w:sz w:val="22"/>
                      <w:szCs w:val="22"/>
                    </w:rPr>
                    <w:t xml:space="preserve">62.36 – 741.30 </w:t>
                  </w:r>
                </w:p>
              </w:tc>
              <w:tc>
                <w:tcPr>
                  <w:tcW w:w="0" w:type="auto"/>
                  <w:tcBorders>
                    <w:top w:val="single"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4948015C" w14:textId="77777777" w:rsidR="0052715E" w:rsidRPr="00745A34" w:rsidRDefault="0052715E" w:rsidP="00A24CD6">
                  <w:pPr>
                    <w:spacing w:after="0"/>
                    <w:jc w:val="center"/>
                    <w:rPr>
                      <w:rFonts w:cs="Arial"/>
                      <w:sz w:val="22"/>
                      <w:szCs w:val="22"/>
                    </w:rPr>
                  </w:pPr>
                  <w:r w:rsidRPr="00745A34">
                    <w:rPr>
                      <w:rStyle w:val="Strong"/>
                      <w:rFonts w:cs="Arial"/>
                      <w:sz w:val="22"/>
                      <w:szCs w:val="22"/>
                    </w:rPr>
                    <w:t>&lt;0.001</w:t>
                  </w:r>
                  <w:r w:rsidRPr="00745A34">
                    <w:rPr>
                      <w:rFonts w:cs="Arial"/>
                      <w:sz w:val="22"/>
                      <w:szCs w:val="22"/>
                    </w:rPr>
                    <w:t xml:space="preserve"> </w:t>
                  </w:r>
                </w:p>
              </w:tc>
              <w:tc>
                <w:tcPr>
                  <w:tcW w:w="0" w:type="auto"/>
                  <w:tcBorders>
                    <w:top w:val="single"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6A690175" w14:textId="77777777" w:rsidR="0052715E" w:rsidRPr="00745A34" w:rsidRDefault="0052715E" w:rsidP="00A24CD6">
                  <w:pPr>
                    <w:spacing w:after="0"/>
                    <w:jc w:val="center"/>
                    <w:rPr>
                      <w:rFonts w:cs="Arial"/>
                      <w:sz w:val="22"/>
                      <w:szCs w:val="22"/>
                    </w:rPr>
                  </w:pPr>
                  <w:r w:rsidRPr="00745A34">
                    <w:rPr>
                      <w:rFonts w:cs="Arial"/>
                      <w:sz w:val="22"/>
                      <w:szCs w:val="22"/>
                    </w:rPr>
                    <w:t xml:space="preserve">71.81 </w:t>
                  </w:r>
                </w:p>
              </w:tc>
              <w:tc>
                <w:tcPr>
                  <w:tcW w:w="0" w:type="auto"/>
                  <w:tcBorders>
                    <w:top w:val="single"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969D9F1" w14:textId="77777777" w:rsidR="0052715E" w:rsidRPr="00745A34" w:rsidRDefault="0052715E" w:rsidP="00A24CD6">
                  <w:pPr>
                    <w:spacing w:after="0"/>
                    <w:jc w:val="center"/>
                    <w:rPr>
                      <w:rFonts w:cs="Arial"/>
                      <w:sz w:val="22"/>
                      <w:szCs w:val="22"/>
                    </w:rPr>
                  </w:pPr>
                  <w:r w:rsidRPr="00745A34">
                    <w:rPr>
                      <w:rFonts w:cs="Arial"/>
                      <w:sz w:val="22"/>
                      <w:szCs w:val="22"/>
                    </w:rPr>
                    <w:t xml:space="preserve">10.41 – 495.54 </w:t>
                  </w:r>
                </w:p>
              </w:tc>
              <w:tc>
                <w:tcPr>
                  <w:tcW w:w="0" w:type="auto"/>
                  <w:tcBorders>
                    <w:top w:val="single"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4CDAD6BB" w14:textId="77777777" w:rsidR="0052715E" w:rsidRPr="00745A34" w:rsidRDefault="0052715E" w:rsidP="00A24CD6">
                  <w:pPr>
                    <w:spacing w:after="0"/>
                    <w:jc w:val="center"/>
                    <w:rPr>
                      <w:rFonts w:cs="Arial"/>
                      <w:sz w:val="22"/>
                      <w:szCs w:val="22"/>
                    </w:rPr>
                  </w:pPr>
                  <w:r w:rsidRPr="00745A34">
                    <w:rPr>
                      <w:rStyle w:val="Strong"/>
                      <w:rFonts w:cs="Arial"/>
                      <w:sz w:val="22"/>
                      <w:szCs w:val="22"/>
                    </w:rPr>
                    <w:t>&lt;0.001</w:t>
                  </w:r>
                  <w:r w:rsidRPr="00745A34">
                    <w:rPr>
                      <w:rFonts w:cs="Arial"/>
                      <w:sz w:val="22"/>
                      <w:szCs w:val="22"/>
                    </w:rPr>
                    <w:t xml:space="preserve"> </w:t>
                  </w:r>
                </w:p>
              </w:tc>
            </w:tr>
            <w:tr w:rsidR="0052715E" w:rsidRPr="00745A34" w14:paraId="1CBCD743" w14:textId="77777777" w:rsidTr="00A24CD6">
              <w:tc>
                <w:tcPr>
                  <w:tcW w:w="0" w:type="auto"/>
                  <w:tcBorders>
                    <w:top w:val="dotted" w:sz="4" w:space="0" w:color="auto"/>
                    <w:left w:val="single" w:sz="4" w:space="0" w:color="auto"/>
                    <w:bottom w:val="dotted" w:sz="4" w:space="0" w:color="auto"/>
                    <w:right w:val="single" w:sz="4" w:space="0" w:color="auto"/>
                  </w:tcBorders>
                  <w:tcMar>
                    <w:top w:w="113" w:type="dxa"/>
                    <w:left w:w="113" w:type="dxa"/>
                    <w:bottom w:w="113" w:type="dxa"/>
                    <w:right w:w="113" w:type="dxa"/>
                  </w:tcMar>
                  <w:hideMark/>
                </w:tcPr>
                <w:p w14:paraId="1B15F04E" w14:textId="77777777" w:rsidR="0052715E" w:rsidRPr="00745A34" w:rsidRDefault="0052715E" w:rsidP="00A24CD6">
                  <w:pPr>
                    <w:spacing w:after="0"/>
                    <w:rPr>
                      <w:rFonts w:cs="Arial"/>
                      <w:sz w:val="22"/>
                      <w:szCs w:val="22"/>
                    </w:rPr>
                  </w:pPr>
                  <w:r w:rsidRPr="00745A34">
                    <w:rPr>
                      <w:rFonts w:cs="Arial"/>
                      <w:sz w:val="22"/>
                      <w:szCs w:val="22"/>
                    </w:rPr>
                    <w:t xml:space="preserve">Offspring or exposed parent sex [male]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33B0958A" w14:textId="77777777" w:rsidR="0052715E" w:rsidRPr="00745A34" w:rsidRDefault="0052715E" w:rsidP="00A24CD6">
                  <w:pPr>
                    <w:spacing w:after="0"/>
                    <w:jc w:val="center"/>
                    <w:rPr>
                      <w:rFonts w:cs="Arial"/>
                      <w:sz w:val="22"/>
                      <w:szCs w:val="22"/>
                    </w:rPr>
                  </w:pPr>
                  <w:r w:rsidRPr="00745A34">
                    <w:rPr>
                      <w:rFonts w:cs="Arial"/>
                      <w:sz w:val="22"/>
                      <w:szCs w:val="22"/>
                    </w:rPr>
                    <w:t xml:space="preserve">1.17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18659844" w14:textId="77777777" w:rsidR="0052715E" w:rsidRPr="00745A34" w:rsidRDefault="0052715E" w:rsidP="00A24CD6">
                  <w:pPr>
                    <w:spacing w:after="0"/>
                    <w:jc w:val="center"/>
                    <w:rPr>
                      <w:rFonts w:cs="Arial"/>
                      <w:sz w:val="22"/>
                      <w:szCs w:val="22"/>
                    </w:rPr>
                  </w:pPr>
                  <w:r w:rsidRPr="00745A34">
                    <w:rPr>
                      <w:rFonts w:cs="Arial"/>
                      <w:sz w:val="22"/>
                      <w:szCs w:val="22"/>
                    </w:rPr>
                    <w:t xml:space="preserve">0.59 – 2.30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0C8F26F9" w14:textId="77777777" w:rsidR="0052715E" w:rsidRPr="00745A34" w:rsidRDefault="0052715E" w:rsidP="00A24CD6">
                  <w:pPr>
                    <w:spacing w:after="0"/>
                    <w:jc w:val="center"/>
                    <w:rPr>
                      <w:rFonts w:cs="Arial"/>
                      <w:sz w:val="22"/>
                      <w:szCs w:val="22"/>
                    </w:rPr>
                  </w:pPr>
                  <w:r w:rsidRPr="00745A34">
                    <w:rPr>
                      <w:rFonts w:cs="Arial"/>
                      <w:sz w:val="22"/>
                      <w:szCs w:val="22"/>
                    </w:rPr>
                    <w:t xml:space="preserve">0.654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6AD6CFC2" w14:textId="77777777" w:rsidR="0052715E" w:rsidRPr="00745A34" w:rsidRDefault="0052715E" w:rsidP="00A24CD6">
                  <w:pPr>
                    <w:spacing w:after="0"/>
                    <w:jc w:val="center"/>
                    <w:rPr>
                      <w:rFonts w:cs="Arial"/>
                      <w:sz w:val="22"/>
                      <w:szCs w:val="22"/>
                    </w:rPr>
                  </w:pPr>
                  <w:r w:rsidRPr="00745A34">
                    <w:rPr>
                      <w:rFonts w:cs="Arial"/>
                      <w:sz w:val="22"/>
                      <w:szCs w:val="22"/>
                    </w:rPr>
                    <w:t xml:space="preserve">0.13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4DED333F" w14:textId="77777777" w:rsidR="0052715E" w:rsidRPr="00745A34" w:rsidRDefault="0052715E" w:rsidP="00A24CD6">
                  <w:pPr>
                    <w:spacing w:after="0"/>
                    <w:jc w:val="center"/>
                    <w:rPr>
                      <w:rFonts w:cs="Arial"/>
                      <w:sz w:val="22"/>
                      <w:szCs w:val="22"/>
                    </w:rPr>
                  </w:pPr>
                  <w:r w:rsidRPr="00745A34">
                    <w:rPr>
                      <w:rFonts w:cs="Arial"/>
                      <w:sz w:val="22"/>
                      <w:szCs w:val="22"/>
                    </w:rPr>
                    <w:t xml:space="preserve">0.03 – 0.58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1FD3D5C6" w14:textId="77777777" w:rsidR="0052715E" w:rsidRPr="00745A34" w:rsidRDefault="0052715E" w:rsidP="00A24CD6">
                  <w:pPr>
                    <w:spacing w:after="0"/>
                    <w:jc w:val="center"/>
                    <w:rPr>
                      <w:rFonts w:cs="Arial"/>
                      <w:sz w:val="22"/>
                      <w:szCs w:val="22"/>
                    </w:rPr>
                  </w:pPr>
                  <w:r w:rsidRPr="00745A34">
                    <w:rPr>
                      <w:rStyle w:val="Strong"/>
                      <w:rFonts w:cs="Arial"/>
                      <w:sz w:val="22"/>
                      <w:szCs w:val="22"/>
                    </w:rPr>
                    <w:t>0.007</w:t>
                  </w:r>
                  <w:r w:rsidRPr="00745A34">
                    <w:rPr>
                      <w:rFonts w:cs="Arial"/>
                      <w:sz w:val="22"/>
                      <w:szCs w:val="22"/>
                    </w:rPr>
                    <w:t xml:space="preserve"> </w:t>
                  </w:r>
                </w:p>
              </w:tc>
            </w:tr>
            <w:tr w:rsidR="0052715E" w:rsidRPr="00745A34" w14:paraId="3433B80F" w14:textId="77777777" w:rsidTr="00A24CD6">
              <w:tc>
                <w:tcPr>
                  <w:tcW w:w="0" w:type="auto"/>
                  <w:tcBorders>
                    <w:top w:val="dotted" w:sz="4" w:space="0" w:color="auto"/>
                    <w:left w:val="single" w:sz="4" w:space="0" w:color="auto"/>
                    <w:bottom w:val="dotted" w:sz="4" w:space="0" w:color="auto"/>
                    <w:right w:val="single" w:sz="4" w:space="0" w:color="auto"/>
                  </w:tcBorders>
                  <w:tcMar>
                    <w:top w:w="113" w:type="dxa"/>
                    <w:left w:w="113" w:type="dxa"/>
                    <w:bottom w:w="113" w:type="dxa"/>
                    <w:right w:w="113" w:type="dxa"/>
                  </w:tcMar>
                  <w:hideMark/>
                </w:tcPr>
                <w:p w14:paraId="139AE003" w14:textId="77777777" w:rsidR="0052715E" w:rsidRPr="00745A34" w:rsidRDefault="0052715E" w:rsidP="00A24CD6">
                  <w:pPr>
                    <w:spacing w:after="0"/>
                    <w:rPr>
                      <w:rFonts w:cs="Arial"/>
                      <w:sz w:val="22"/>
                      <w:szCs w:val="22"/>
                    </w:rPr>
                  </w:pPr>
                  <w:r w:rsidRPr="00745A34">
                    <w:rPr>
                      <w:rFonts w:cs="Arial"/>
                      <w:sz w:val="22"/>
                      <w:szCs w:val="22"/>
                    </w:rPr>
                    <w:t xml:space="preserve">Main infected parent colony [Tapachula]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37908F2F" w14:textId="77777777" w:rsidR="0052715E" w:rsidRPr="00745A34" w:rsidRDefault="0052715E" w:rsidP="00A24CD6">
                  <w:pPr>
                    <w:spacing w:after="0"/>
                    <w:jc w:val="center"/>
                    <w:rPr>
                      <w:rFonts w:cs="Arial"/>
                      <w:sz w:val="22"/>
                      <w:szCs w:val="22"/>
                    </w:rPr>
                  </w:pPr>
                  <w:r w:rsidRPr="00745A34">
                    <w:rPr>
                      <w:rFonts w:cs="Arial"/>
                      <w:sz w:val="22"/>
                      <w:szCs w:val="22"/>
                    </w:rPr>
                    <w:t xml:space="preserve">0.04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3FD1CB7A" w14:textId="77777777" w:rsidR="0052715E" w:rsidRPr="00745A34" w:rsidRDefault="0052715E" w:rsidP="00A24CD6">
                  <w:pPr>
                    <w:spacing w:after="0"/>
                    <w:jc w:val="center"/>
                    <w:rPr>
                      <w:rFonts w:cs="Arial"/>
                      <w:sz w:val="22"/>
                      <w:szCs w:val="22"/>
                    </w:rPr>
                  </w:pPr>
                  <w:r w:rsidRPr="00745A34">
                    <w:rPr>
                      <w:rFonts w:cs="Arial"/>
                      <w:sz w:val="22"/>
                      <w:szCs w:val="22"/>
                    </w:rPr>
                    <w:t xml:space="preserve">0.01 – 0.10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6E77D325" w14:textId="77777777" w:rsidR="0052715E" w:rsidRPr="00745A34" w:rsidRDefault="0052715E" w:rsidP="00A24CD6">
                  <w:pPr>
                    <w:spacing w:after="0"/>
                    <w:jc w:val="center"/>
                    <w:rPr>
                      <w:rFonts w:cs="Arial"/>
                      <w:sz w:val="22"/>
                      <w:szCs w:val="22"/>
                    </w:rPr>
                  </w:pPr>
                  <w:r w:rsidRPr="00745A34">
                    <w:rPr>
                      <w:rStyle w:val="Strong"/>
                      <w:rFonts w:cs="Arial"/>
                      <w:sz w:val="22"/>
                      <w:szCs w:val="22"/>
                    </w:rPr>
                    <w:t>&lt;0.001</w:t>
                  </w:r>
                  <w:r w:rsidRPr="00745A34">
                    <w:rPr>
                      <w:rFonts w:cs="Arial"/>
                      <w:sz w:val="22"/>
                      <w:szCs w:val="22"/>
                    </w:rPr>
                    <w:t xml:space="preserve">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05EC2BC1" w14:textId="77777777" w:rsidR="0052715E" w:rsidRPr="00745A34" w:rsidRDefault="0052715E" w:rsidP="00A24CD6">
                  <w:pPr>
                    <w:spacing w:after="0"/>
                    <w:jc w:val="center"/>
                    <w:rPr>
                      <w:rFonts w:cs="Arial"/>
                      <w:sz w:val="22"/>
                      <w:szCs w:val="22"/>
                    </w:rPr>
                  </w:pPr>
                  <w:r w:rsidRPr="00745A34">
                    <w:rPr>
                      <w:rFonts w:cs="Arial"/>
                      <w:sz w:val="22"/>
                      <w:szCs w:val="22"/>
                    </w:rPr>
                    <w:t xml:space="preserve">0.02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50574196" w14:textId="77777777" w:rsidR="0052715E" w:rsidRPr="00745A34" w:rsidRDefault="0052715E" w:rsidP="00A24CD6">
                  <w:pPr>
                    <w:spacing w:after="0"/>
                    <w:jc w:val="center"/>
                    <w:rPr>
                      <w:rFonts w:cs="Arial"/>
                      <w:sz w:val="22"/>
                      <w:szCs w:val="22"/>
                    </w:rPr>
                  </w:pPr>
                  <w:r w:rsidRPr="00745A34">
                    <w:rPr>
                      <w:rFonts w:cs="Arial"/>
                      <w:sz w:val="22"/>
                      <w:szCs w:val="22"/>
                    </w:rPr>
                    <w:t xml:space="preserve">0.00 – 0.10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3E7BF35B" w14:textId="77777777" w:rsidR="0052715E" w:rsidRPr="00745A34" w:rsidRDefault="0052715E" w:rsidP="00A24CD6">
                  <w:pPr>
                    <w:spacing w:after="0"/>
                    <w:jc w:val="center"/>
                    <w:rPr>
                      <w:rFonts w:cs="Arial"/>
                      <w:sz w:val="22"/>
                      <w:szCs w:val="22"/>
                    </w:rPr>
                  </w:pPr>
                  <w:r w:rsidRPr="00745A34">
                    <w:rPr>
                      <w:rStyle w:val="Strong"/>
                      <w:rFonts w:cs="Arial"/>
                      <w:sz w:val="22"/>
                      <w:szCs w:val="22"/>
                    </w:rPr>
                    <w:t>&lt;0.001</w:t>
                  </w:r>
                  <w:r w:rsidRPr="00745A34">
                    <w:rPr>
                      <w:rFonts w:cs="Arial"/>
                      <w:sz w:val="22"/>
                      <w:szCs w:val="22"/>
                    </w:rPr>
                    <w:t xml:space="preserve"> </w:t>
                  </w:r>
                </w:p>
              </w:tc>
            </w:tr>
            <w:tr w:rsidR="0052715E" w:rsidRPr="00745A34" w14:paraId="2BADC68F" w14:textId="77777777" w:rsidTr="00A24CD6">
              <w:tc>
                <w:tcPr>
                  <w:tcW w:w="0" w:type="auto"/>
                  <w:tcBorders>
                    <w:top w:val="dotted" w:sz="4" w:space="0" w:color="auto"/>
                    <w:left w:val="single" w:sz="4" w:space="0" w:color="auto"/>
                    <w:bottom w:val="dotted" w:sz="4" w:space="0" w:color="auto"/>
                    <w:right w:val="single" w:sz="4" w:space="0" w:color="auto"/>
                  </w:tcBorders>
                  <w:tcMar>
                    <w:top w:w="113" w:type="dxa"/>
                    <w:left w:w="113" w:type="dxa"/>
                    <w:bottom w:w="113" w:type="dxa"/>
                    <w:right w:w="113" w:type="dxa"/>
                  </w:tcMar>
                  <w:hideMark/>
                </w:tcPr>
                <w:p w14:paraId="3F28F4A9" w14:textId="77777777" w:rsidR="0052715E" w:rsidRPr="00745A34" w:rsidRDefault="0052715E" w:rsidP="00A24CD6">
                  <w:pPr>
                    <w:spacing w:after="0"/>
                    <w:rPr>
                      <w:rFonts w:cs="Arial"/>
                      <w:sz w:val="22"/>
                      <w:szCs w:val="22"/>
                    </w:rPr>
                  </w:pPr>
                  <w:r w:rsidRPr="00745A34">
                    <w:rPr>
                      <w:rFonts w:cs="Arial"/>
                      <w:sz w:val="22"/>
                      <w:szCs w:val="22"/>
                    </w:rPr>
                    <w:t xml:space="preserve">Less infected parent colony [Vergel]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213ECFBD" w14:textId="77777777" w:rsidR="0052715E" w:rsidRPr="00745A34" w:rsidRDefault="0052715E" w:rsidP="00A24CD6">
                  <w:pPr>
                    <w:spacing w:after="0"/>
                    <w:jc w:val="center"/>
                    <w:rPr>
                      <w:rFonts w:cs="Arial"/>
                      <w:sz w:val="22"/>
                      <w:szCs w:val="22"/>
                    </w:rPr>
                  </w:pPr>
                  <w:r w:rsidRPr="00745A34">
                    <w:rPr>
                      <w:rFonts w:cs="Arial"/>
                      <w:sz w:val="22"/>
                      <w:szCs w:val="22"/>
                    </w:rPr>
                    <w:t xml:space="preserve">1.91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01B43F0F" w14:textId="77777777" w:rsidR="0052715E" w:rsidRPr="00745A34" w:rsidRDefault="0052715E" w:rsidP="00A24CD6">
                  <w:pPr>
                    <w:spacing w:after="0"/>
                    <w:jc w:val="center"/>
                    <w:rPr>
                      <w:rFonts w:cs="Arial"/>
                      <w:sz w:val="22"/>
                      <w:szCs w:val="22"/>
                    </w:rPr>
                  </w:pPr>
                  <w:r w:rsidRPr="00745A34">
                    <w:rPr>
                      <w:rFonts w:cs="Arial"/>
                      <w:sz w:val="22"/>
                      <w:szCs w:val="22"/>
                    </w:rPr>
                    <w:t xml:space="preserve">0.97 – 3.83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7AE3DB2B" w14:textId="77777777" w:rsidR="0052715E" w:rsidRPr="00745A34" w:rsidRDefault="0052715E" w:rsidP="00A24CD6">
                  <w:pPr>
                    <w:spacing w:after="0"/>
                    <w:jc w:val="center"/>
                    <w:rPr>
                      <w:rFonts w:cs="Arial"/>
                      <w:sz w:val="22"/>
                      <w:szCs w:val="22"/>
                    </w:rPr>
                  </w:pPr>
                  <w:r w:rsidRPr="00745A34">
                    <w:rPr>
                      <w:rFonts w:cs="Arial"/>
                      <w:sz w:val="22"/>
                      <w:szCs w:val="22"/>
                    </w:rPr>
                    <w:t xml:space="preserve">0.063 </w:t>
                  </w:r>
                </w:p>
              </w:tc>
              <w:tc>
                <w:tcPr>
                  <w:tcW w:w="0" w:type="auto"/>
                  <w:tcBorders>
                    <w:top w:val="dotted" w:sz="4" w:space="0" w:color="auto"/>
                    <w:left w:val="single" w:sz="4" w:space="0" w:color="auto"/>
                    <w:bottom w:val="dotted" w:sz="4" w:space="0" w:color="auto"/>
                    <w:right w:val="dotted" w:sz="4" w:space="0" w:color="auto"/>
                  </w:tcBorders>
                  <w:tcMar>
                    <w:top w:w="113" w:type="dxa"/>
                    <w:left w:w="113" w:type="dxa"/>
                    <w:bottom w:w="113" w:type="dxa"/>
                    <w:right w:w="113" w:type="dxa"/>
                  </w:tcMar>
                  <w:hideMark/>
                </w:tcPr>
                <w:p w14:paraId="125BEDB9" w14:textId="77777777" w:rsidR="0052715E" w:rsidRPr="00745A34" w:rsidRDefault="0052715E" w:rsidP="00A24CD6">
                  <w:pPr>
                    <w:spacing w:after="0"/>
                    <w:jc w:val="center"/>
                    <w:rPr>
                      <w:rFonts w:cs="Arial"/>
                      <w:sz w:val="22"/>
                      <w:szCs w:val="22"/>
                    </w:rPr>
                  </w:pPr>
                  <w:r w:rsidRPr="00745A34">
                    <w:rPr>
                      <w:rFonts w:cs="Arial"/>
                      <w:sz w:val="22"/>
                      <w:szCs w:val="22"/>
                    </w:rPr>
                    <w:t xml:space="preserve">0.60 </w:t>
                  </w:r>
                </w:p>
              </w:tc>
              <w:tc>
                <w:tcPr>
                  <w:tcW w:w="0" w:type="auto"/>
                  <w:tcBorders>
                    <w:top w:val="dotted" w:sz="4" w:space="0" w:color="auto"/>
                    <w:left w:val="dotted" w:sz="4" w:space="0" w:color="auto"/>
                    <w:bottom w:val="dotted" w:sz="4" w:space="0" w:color="auto"/>
                    <w:right w:val="dotted" w:sz="4" w:space="0" w:color="auto"/>
                  </w:tcBorders>
                  <w:tcMar>
                    <w:top w:w="113" w:type="dxa"/>
                    <w:left w:w="113" w:type="dxa"/>
                    <w:bottom w:w="113" w:type="dxa"/>
                    <w:right w:w="113" w:type="dxa"/>
                  </w:tcMar>
                  <w:hideMark/>
                </w:tcPr>
                <w:p w14:paraId="6BBB883A" w14:textId="77777777" w:rsidR="0052715E" w:rsidRPr="00745A34" w:rsidRDefault="0052715E" w:rsidP="00A24CD6">
                  <w:pPr>
                    <w:spacing w:after="0"/>
                    <w:jc w:val="center"/>
                    <w:rPr>
                      <w:rFonts w:cs="Arial"/>
                      <w:sz w:val="22"/>
                      <w:szCs w:val="22"/>
                    </w:rPr>
                  </w:pPr>
                  <w:r w:rsidRPr="00745A34">
                    <w:rPr>
                      <w:rFonts w:cs="Arial"/>
                      <w:sz w:val="22"/>
                      <w:szCs w:val="22"/>
                    </w:rPr>
                    <w:t xml:space="preserve">0.13 – 2.68 </w:t>
                  </w:r>
                </w:p>
              </w:tc>
              <w:tc>
                <w:tcPr>
                  <w:tcW w:w="0" w:type="auto"/>
                  <w:tcBorders>
                    <w:top w:val="dotted" w:sz="4" w:space="0" w:color="auto"/>
                    <w:left w:val="dotted" w:sz="4" w:space="0" w:color="auto"/>
                    <w:bottom w:val="dotted" w:sz="4" w:space="0" w:color="auto"/>
                    <w:right w:val="single" w:sz="4" w:space="0" w:color="auto"/>
                  </w:tcBorders>
                  <w:tcMar>
                    <w:top w:w="113" w:type="dxa"/>
                    <w:left w:w="113" w:type="dxa"/>
                    <w:bottom w:w="113" w:type="dxa"/>
                    <w:right w:w="113" w:type="dxa"/>
                  </w:tcMar>
                  <w:hideMark/>
                </w:tcPr>
                <w:p w14:paraId="146617DA" w14:textId="77777777" w:rsidR="0052715E" w:rsidRPr="00745A34" w:rsidRDefault="0052715E" w:rsidP="00A24CD6">
                  <w:pPr>
                    <w:spacing w:after="0"/>
                    <w:jc w:val="center"/>
                    <w:rPr>
                      <w:rFonts w:cs="Arial"/>
                      <w:sz w:val="22"/>
                      <w:szCs w:val="22"/>
                    </w:rPr>
                  </w:pPr>
                  <w:r w:rsidRPr="00745A34">
                    <w:rPr>
                      <w:rFonts w:cs="Arial"/>
                      <w:sz w:val="22"/>
                      <w:szCs w:val="22"/>
                    </w:rPr>
                    <w:t xml:space="preserve">0.499 </w:t>
                  </w:r>
                </w:p>
              </w:tc>
            </w:tr>
            <w:tr w:rsidR="0052715E" w:rsidRPr="00745A34" w14:paraId="3A2C0ED3" w14:textId="77777777" w:rsidTr="00A24CD6">
              <w:tc>
                <w:tcPr>
                  <w:tcW w:w="0" w:type="auto"/>
                  <w:tcBorders>
                    <w:top w:val="dotted" w:sz="4" w:space="0" w:color="auto"/>
                    <w:left w:val="single" w:sz="4" w:space="0" w:color="auto"/>
                    <w:bottom w:val="single" w:sz="4" w:space="0" w:color="auto"/>
                    <w:right w:val="single" w:sz="4" w:space="0" w:color="auto"/>
                  </w:tcBorders>
                  <w:tcMar>
                    <w:top w:w="113" w:type="dxa"/>
                    <w:left w:w="113" w:type="dxa"/>
                    <w:bottom w:w="113" w:type="dxa"/>
                    <w:right w:w="113" w:type="dxa"/>
                  </w:tcMar>
                  <w:hideMark/>
                </w:tcPr>
                <w:p w14:paraId="44A736EA" w14:textId="77777777" w:rsidR="0052715E" w:rsidRPr="00745A34" w:rsidRDefault="0052715E" w:rsidP="00A24CD6">
                  <w:pPr>
                    <w:spacing w:after="0"/>
                    <w:rPr>
                      <w:rFonts w:cs="Arial"/>
                      <w:sz w:val="22"/>
                      <w:szCs w:val="22"/>
                    </w:rPr>
                  </w:pPr>
                  <w:r w:rsidRPr="00745A34">
                    <w:rPr>
                      <w:rFonts w:cs="Arial"/>
                      <w:sz w:val="22"/>
                      <w:szCs w:val="22"/>
                    </w:rPr>
                    <w:t xml:space="preserve">Vertical transmission mode [paternal] </w:t>
                  </w:r>
                </w:p>
              </w:tc>
              <w:tc>
                <w:tcPr>
                  <w:tcW w:w="0" w:type="auto"/>
                  <w:tcBorders>
                    <w:top w:val="dotted" w:sz="4" w:space="0" w:color="auto"/>
                    <w:left w:val="single" w:sz="4" w:space="0" w:color="auto"/>
                    <w:bottom w:val="single" w:sz="4" w:space="0" w:color="auto"/>
                    <w:right w:val="dotted" w:sz="4" w:space="0" w:color="auto"/>
                  </w:tcBorders>
                  <w:tcMar>
                    <w:top w:w="113" w:type="dxa"/>
                    <w:left w:w="113" w:type="dxa"/>
                    <w:bottom w:w="113" w:type="dxa"/>
                    <w:right w:w="113" w:type="dxa"/>
                  </w:tcMar>
                  <w:hideMark/>
                </w:tcPr>
                <w:p w14:paraId="5DF2761D" w14:textId="77777777" w:rsidR="0052715E" w:rsidRPr="00745A34" w:rsidRDefault="0052715E" w:rsidP="00A24CD6">
                  <w:pPr>
                    <w:spacing w:after="0"/>
                    <w:jc w:val="center"/>
                    <w:rPr>
                      <w:rFonts w:cs="Arial"/>
                      <w:sz w:val="22"/>
                      <w:szCs w:val="22"/>
                    </w:rPr>
                  </w:pPr>
                  <w:r w:rsidRPr="00745A34">
                    <w:rPr>
                      <w:rFonts w:cs="Arial"/>
                      <w:sz w:val="22"/>
                      <w:szCs w:val="22"/>
                    </w:rPr>
                    <w:t xml:space="preserve">0.07 </w:t>
                  </w:r>
                </w:p>
              </w:tc>
              <w:tc>
                <w:tcPr>
                  <w:tcW w:w="0" w:type="auto"/>
                  <w:tcBorders>
                    <w:top w:val="dotted" w:sz="4" w:space="0" w:color="auto"/>
                    <w:left w:val="dotted" w:sz="4" w:space="0" w:color="auto"/>
                    <w:bottom w:val="single" w:sz="4" w:space="0" w:color="auto"/>
                    <w:right w:val="dotted" w:sz="4" w:space="0" w:color="auto"/>
                  </w:tcBorders>
                  <w:tcMar>
                    <w:top w:w="113" w:type="dxa"/>
                    <w:left w:w="113" w:type="dxa"/>
                    <w:bottom w:w="113" w:type="dxa"/>
                    <w:right w:w="113" w:type="dxa"/>
                  </w:tcMar>
                  <w:hideMark/>
                </w:tcPr>
                <w:p w14:paraId="39AA1ED6" w14:textId="77777777" w:rsidR="0052715E" w:rsidRPr="00745A34" w:rsidRDefault="0052715E" w:rsidP="00A24CD6">
                  <w:pPr>
                    <w:spacing w:after="0"/>
                    <w:jc w:val="center"/>
                    <w:rPr>
                      <w:rFonts w:cs="Arial"/>
                      <w:sz w:val="22"/>
                      <w:szCs w:val="22"/>
                    </w:rPr>
                  </w:pPr>
                  <w:r w:rsidRPr="00745A34">
                    <w:rPr>
                      <w:rFonts w:cs="Arial"/>
                      <w:sz w:val="22"/>
                      <w:szCs w:val="22"/>
                    </w:rPr>
                    <w:t xml:space="preserve">0.03 – 0.15 </w:t>
                  </w:r>
                </w:p>
              </w:tc>
              <w:tc>
                <w:tcPr>
                  <w:tcW w:w="0" w:type="auto"/>
                  <w:tcBorders>
                    <w:top w:val="dotted" w:sz="4" w:space="0" w:color="auto"/>
                    <w:left w:val="dotted" w:sz="4" w:space="0" w:color="auto"/>
                    <w:bottom w:val="single" w:sz="4" w:space="0" w:color="auto"/>
                    <w:right w:val="single" w:sz="4" w:space="0" w:color="auto"/>
                  </w:tcBorders>
                  <w:tcMar>
                    <w:top w:w="113" w:type="dxa"/>
                    <w:left w:w="113" w:type="dxa"/>
                    <w:bottom w:w="113" w:type="dxa"/>
                    <w:right w:w="113" w:type="dxa"/>
                  </w:tcMar>
                  <w:hideMark/>
                </w:tcPr>
                <w:p w14:paraId="4E6DCB96" w14:textId="77777777" w:rsidR="0052715E" w:rsidRPr="00745A34" w:rsidRDefault="0052715E" w:rsidP="00A24CD6">
                  <w:pPr>
                    <w:spacing w:after="0"/>
                    <w:jc w:val="center"/>
                    <w:rPr>
                      <w:rFonts w:cs="Arial"/>
                      <w:sz w:val="22"/>
                      <w:szCs w:val="22"/>
                    </w:rPr>
                  </w:pPr>
                  <w:r w:rsidRPr="00745A34">
                    <w:rPr>
                      <w:rStyle w:val="Strong"/>
                      <w:rFonts w:cs="Arial"/>
                      <w:sz w:val="22"/>
                      <w:szCs w:val="22"/>
                    </w:rPr>
                    <w:t>&lt;0.001</w:t>
                  </w:r>
                  <w:r w:rsidRPr="00745A34">
                    <w:rPr>
                      <w:rFonts w:cs="Arial"/>
                      <w:sz w:val="22"/>
                      <w:szCs w:val="22"/>
                    </w:rPr>
                    <w:t xml:space="preserve"> </w:t>
                  </w:r>
                </w:p>
              </w:tc>
              <w:tc>
                <w:tcPr>
                  <w:tcW w:w="0" w:type="auto"/>
                  <w:tcBorders>
                    <w:top w:val="dotted" w:sz="4" w:space="0" w:color="auto"/>
                    <w:left w:val="single" w:sz="4" w:space="0" w:color="auto"/>
                    <w:bottom w:val="single" w:sz="4" w:space="0" w:color="auto"/>
                    <w:right w:val="dotted" w:sz="4" w:space="0" w:color="auto"/>
                  </w:tcBorders>
                  <w:tcMar>
                    <w:top w:w="113" w:type="dxa"/>
                    <w:left w:w="113" w:type="dxa"/>
                    <w:bottom w:w="113" w:type="dxa"/>
                    <w:right w:w="113" w:type="dxa"/>
                  </w:tcMar>
                  <w:hideMark/>
                </w:tcPr>
                <w:p w14:paraId="65281D25" w14:textId="77777777" w:rsidR="0052715E" w:rsidRPr="00745A34" w:rsidRDefault="0052715E" w:rsidP="00A24CD6">
                  <w:pPr>
                    <w:spacing w:after="0"/>
                    <w:jc w:val="center"/>
                    <w:rPr>
                      <w:rFonts w:cs="Arial"/>
                      <w:sz w:val="22"/>
                      <w:szCs w:val="22"/>
                    </w:rPr>
                  </w:pPr>
                </w:p>
              </w:tc>
              <w:tc>
                <w:tcPr>
                  <w:tcW w:w="0" w:type="auto"/>
                  <w:tcBorders>
                    <w:top w:val="dotted" w:sz="4" w:space="0" w:color="auto"/>
                    <w:left w:val="dotted" w:sz="4" w:space="0" w:color="auto"/>
                    <w:bottom w:val="single" w:sz="4" w:space="0" w:color="auto"/>
                    <w:right w:val="dotted" w:sz="4" w:space="0" w:color="auto"/>
                  </w:tcBorders>
                  <w:tcMar>
                    <w:top w:w="113" w:type="dxa"/>
                    <w:left w:w="113" w:type="dxa"/>
                    <w:bottom w:w="113" w:type="dxa"/>
                    <w:right w:w="113" w:type="dxa"/>
                  </w:tcMar>
                  <w:hideMark/>
                </w:tcPr>
                <w:p w14:paraId="4EF3049C" w14:textId="77777777" w:rsidR="0052715E" w:rsidRPr="00745A34" w:rsidRDefault="0052715E" w:rsidP="00A24CD6">
                  <w:pPr>
                    <w:spacing w:after="0"/>
                    <w:jc w:val="center"/>
                    <w:rPr>
                      <w:rFonts w:cs="Arial"/>
                      <w:sz w:val="22"/>
                      <w:szCs w:val="22"/>
                    </w:rPr>
                  </w:pPr>
                </w:p>
              </w:tc>
              <w:tc>
                <w:tcPr>
                  <w:tcW w:w="0" w:type="auto"/>
                  <w:tcBorders>
                    <w:top w:val="dotted" w:sz="4" w:space="0" w:color="auto"/>
                    <w:left w:val="dotted" w:sz="4" w:space="0" w:color="auto"/>
                    <w:bottom w:val="single" w:sz="4" w:space="0" w:color="auto"/>
                    <w:right w:val="single" w:sz="4" w:space="0" w:color="auto"/>
                  </w:tcBorders>
                  <w:tcMar>
                    <w:top w:w="113" w:type="dxa"/>
                    <w:left w:w="113" w:type="dxa"/>
                    <w:bottom w:w="113" w:type="dxa"/>
                    <w:right w:w="113" w:type="dxa"/>
                  </w:tcMar>
                  <w:hideMark/>
                </w:tcPr>
                <w:p w14:paraId="5C04AB4A" w14:textId="77777777" w:rsidR="0052715E" w:rsidRPr="00745A34" w:rsidRDefault="0052715E" w:rsidP="00A24CD6">
                  <w:pPr>
                    <w:spacing w:after="0"/>
                    <w:jc w:val="center"/>
                    <w:rPr>
                      <w:rFonts w:cs="Arial"/>
                      <w:sz w:val="22"/>
                      <w:szCs w:val="22"/>
                    </w:rPr>
                  </w:pPr>
                </w:p>
              </w:tc>
            </w:tr>
            <w:tr w:rsidR="0052715E" w:rsidRPr="00745A34" w14:paraId="34B67B4E" w14:textId="77777777" w:rsidTr="00A24CD6">
              <w:tc>
                <w:tcPr>
                  <w:tcW w:w="0" w:type="auto"/>
                  <w:tcBorders>
                    <w:top w:val="single"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47417F6E" w14:textId="77777777" w:rsidR="0052715E" w:rsidRPr="00745A34" w:rsidRDefault="0052715E" w:rsidP="00A24CD6">
                  <w:pPr>
                    <w:spacing w:after="0"/>
                    <w:rPr>
                      <w:rFonts w:cs="Arial"/>
                      <w:sz w:val="22"/>
                      <w:szCs w:val="22"/>
                    </w:rPr>
                  </w:pPr>
                  <w:r w:rsidRPr="00745A34">
                    <w:rPr>
                      <w:rFonts w:cs="Arial"/>
                      <w:sz w:val="22"/>
                      <w:szCs w:val="22"/>
                    </w:rPr>
                    <w:t xml:space="preserve">Observations </w:t>
                  </w:r>
                </w:p>
              </w:tc>
              <w:tc>
                <w:tcPr>
                  <w:tcW w:w="0" w:type="auto"/>
                  <w:gridSpan w:val="3"/>
                  <w:tcBorders>
                    <w:top w:val="single"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36C28371" w14:textId="77777777" w:rsidR="0052715E" w:rsidRPr="00745A34" w:rsidRDefault="0052715E" w:rsidP="00A24CD6">
                  <w:pPr>
                    <w:spacing w:after="0"/>
                    <w:rPr>
                      <w:rFonts w:cs="Arial"/>
                      <w:sz w:val="22"/>
                      <w:szCs w:val="22"/>
                    </w:rPr>
                  </w:pPr>
                  <w:r w:rsidRPr="00745A34">
                    <w:rPr>
                      <w:rFonts w:cs="Arial"/>
                      <w:sz w:val="22"/>
                      <w:szCs w:val="22"/>
                    </w:rPr>
                    <w:t xml:space="preserve">376 </w:t>
                  </w:r>
                </w:p>
              </w:tc>
              <w:tc>
                <w:tcPr>
                  <w:tcW w:w="0" w:type="auto"/>
                  <w:gridSpan w:val="3"/>
                  <w:tcBorders>
                    <w:top w:val="single"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5F394FC7" w14:textId="77777777" w:rsidR="0052715E" w:rsidRPr="00745A34" w:rsidRDefault="0052715E" w:rsidP="00A24CD6">
                  <w:pPr>
                    <w:spacing w:after="0"/>
                    <w:rPr>
                      <w:rFonts w:cs="Arial"/>
                      <w:sz w:val="22"/>
                      <w:szCs w:val="22"/>
                    </w:rPr>
                  </w:pPr>
                  <w:r w:rsidRPr="00745A34">
                    <w:rPr>
                      <w:rFonts w:cs="Arial"/>
                      <w:sz w:val="22"/>
                      <w:szCs w:val="22"/>
                    </w:rPr>
                    <w:t xml:space="preserve">191 </w:t>
                  </w:r>
                </w:p>
              </w:tc>
            </w:tr>
            <w:tr w:rsidR="0052715E" w:rsidRPr="00745A34" w14:paraId="6AFAFA32" w14:textId="77777777" w:rsidTr="00A24CD6">
              <w:tc>
                <w:tcPr>
                  <w:tcW w:w="0" w:type="auto"/>
                  <w:tcBorders>
                    <w:top w:val="dotted"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57A53C65" w14:textId="77777777" w:rsidR="0052715E" w:rsidRPr="00745A34" w:rsidRDefault="0052715E" w:rsidP="00A24CD6">
                  <w:pPr>
                    <w:spacing w:after="0"/>
                    <w:rPr>
                      <w:rFonts w:cs="Arial"/>
                      <w:sz w:val="22"/>
                      <w:szCs w:val="22"/>
                    </w:rPr>
                  </w:pPr>
                  <w:r w:rsidRPr="00745A34">
                    <w:rPr>
                      <w:rFonts w:cs="Arial"/>
                      <w:sz w:val="22"/>
                      <w:szCs w:val="22"/>
                    </w:rPr>
                    <w:t>R</w:t>
                  </w:r>
                  <w:r w:rsidRPr="00745A34">
                    <w:rPr>
                      <w:rFonts w:cs="Arial"/>
                      <w:sz w:val="22"/>
                      <w:szCs w:val="22"/>
                      <w:vertAlign w:val="superscript"/>
                    </w:rPr>
                    <w:t>2</w:t>
                  </w:r>
                  <w:r w:rsidRPr="00745A34">
                    <w:rPr>
                      <w:rFonts w:cs="Arial"/>
                      <w:sz w:val="22"/>
                      <w:szCs w:val="22"/>
                    </w:rPr>
                    <w:t xml:space="preserve"> Tjur </w:t>
                  </w:r>
                </w:p>
              </w:tc>
              <w:tc>
                <w:tcPr>
                  <w:tcW w:w="0" w:type="auto"/>
                  <w:gridSpan w:val="3"/>
                  <w:tcBorders>
                    <w:top w:val="dotted"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790ADF75" w14:textId="77777777" w:rsidR="0052715E" w:rsidRPr="00745A34" w:rsidRDefault="0052715E" w:rsidP="00A24CD6">
                  <w:pPr>
                    <w:spacing w:after="0"/>
                    <w:rPr>
                      <w:rFonts w:cs="Arial"/>
                      <w:sz w:val="22"/>
                      <w:szCs w:val="22"/>
                    </w:rPr>
                  </w:pPr>
                  <w:r w:rsidRPr="00745A34">
                    <w:rPr>
                      <w:rFonts w:cs="Arial"/>
                      <w:sz w:val="22"/>
                      <w:szCs w:val="22"/>
                    </w:rPr>
                    <w:t xml:space="preserve">0.348 </w:t>
                  </w:r>
                </w:p>
              </w:tc>
              <w:tc>
                <w:tcPr>
                  <w:tcW w:w="0" w:type="auto"/>
                  <w:gridSpan w:val="3"/>
                  <w:tcBorders>
                    <w:top w:val="dotted" w:sz="4" w:space="0" w:color="auto"/>
                    <w:left w:val="single" w:sz="4" w:space="0" w:color="auto"/>
                    <w:bottom w:val="dotted" w:sz="4" w:space="0" w:color="auto"/>
                    <w:right w:val="single" w:sz="4" w:space="0" w:color="auto"/>
                  </w:tcBorders>
                  <w:tcMar>
                    <w:top w:w="57" w:type="dxa"/>
                    <w:left w:w="113" w:type="dxa"/>
                    <w:bottom w:w="57" w:type="dxa"/>
                    <w:right w:w="113" w:type="dxa"/>
                  </w:tcMar>
                  <w:hideMark/>
                </w:tcPr>
                <w:p w14:paraId="312B7381" w14:textId="77777777" w:rsidR="0052715E" w:rsidRPr="00745A34" w:rsidRDefault="0052715E" w:rsidP="00A24CD6">
                  <w:pPr>
                    <w:spacing w:after="0"/>
                    <w:rPr>
                      <w:rFonts w:cs="Arial"/>
                      <w:sz w:val="22"/>
                      <w:szCs w:val="22"/>
                    </w:rPr>
                  </w:pPr>
                  <w:r w:rsidRPr="00745A34">
                    <w:rPr>
                      <w:rFonts w:cs="Arial"/>
                      <w:sz w:val="22"/>
                      <w:szCs w:val="22"/>
                    </w:rPr>
                    <w:t xml:space="preserve">0.532 / 0.645 </w:t>
                  </w:r>
                </w:p>
              </w:tc>
            </w:tr>
            <w:tr w:rsidR="0052715E" w:rsidRPr="00745A34" w14:paraId="6E44CCCA" w14:textId="77777777" w:rsidTr="00A24CD6">
              <w:tc>
                <w:tcPr>
                  <w:tcW w:w="0" w:type="auto"/>
                  <w:tcBorders>
                    <w:top w:val="dotted" w:sz="4" w:space="0" w:color="auto"/>
                    <w:left w:val="single" w:sz="4" w:space="0" w:color="auto"/>
                    <w:bottom w:val="single" w:sz="4" w:space="0" w:color="auto"/>
                    <w:right w:val="single" w:sz="4" w:space="0" w:color="auto"/>
                  </w:tcBorders>
                  <w:tcMar>
                    <w:top w:w="57" w:type="dxa"/>
                    <w:left w:w="113" w:type="dxa"/>
                    <w:bottom w:w="57" w:type="dxa"/>
                    <w:right w:w="113" w:type="dxa"/>
                  </w:tcMar>
                  <w:hideMark/>
                </w:tcPr>
                <w:p w14:paraId="395D444E" w14:textId="77777777" w:rsidR="0052715E" w:rsidRPr="00745A34" w:rsidRDefault="0052715E" w:rsidP="00A24CD6">
                  <w:pPr>
                    <w:spacing w:after="0"/>
                    <w:rPr>
                      <w:rFonts w:cs="Arial"/>
                      <w:sz w:val="22"/>
                      <w:szCs w:val="22"/>
                    </w:rPr>
                  </w:pPr>
                  <w:r w:rsidRPr="00745A34">
                    <w:rPr>
                      <w:rFonts w:cs="Arial"/>
                      <w:sz w:val="22"/>
                      <w:szCs w:val="22"/>
                    </w:rPr>
                    <w:t xml:space="preserve">AIC </w:t>
                  </w:r>
                </w:p>
              </w:tc>
              <w:tc>
                <w:tcPr>
                  <w:tcW w:w="0" w:type="auto"/>
                  <w:gridSpan w:val="3"/>
                  <w:tcBorders>
                    <w:top w:val="dotted" w:sz="4" w:space="0" w:color="auto"/>
                    <w:left w:val="single" w:sz="4" w:space="0" w:color="auto"/>
                    <w:bottom w:val="single" w:sz="4" w:space="0" w:color="auto"/>
                    <w:right w:val="single" w:sz="4" w:space="0" w:color="auto"/>
                  </w:tcBorders>
                  <w:tcMar>
                    <w:top w:w="57" w:type="dxa"/>
                    <w:left w:w="113" w:type="dxa"/>
                    <w:bottom w:w="57" w:type="dxa"/>
                    <w:right w:w="113" w:type="dxa"/>
                  </w:tcMar>
                  <w:hideMark/>
                </w:tcPr>
                <w:p w14:paraId="4A122CA4" w14:textId="77777777" w:rsidR="0052715E" w:rsidRPr="00745A34" w:rsidRDefault="0052715E" w:rsidP="00A24CD6">
                  <w:pPr>
                    <w:spacing w:after="0"/>
                    <w:rPr>
                      <w:rFonts w:cs="Arial"/>
                      <w:sz w:val="22"/>
                      <w:szCs w:val="22"/>
                    </w:rPr>
                  </w:pPr>
                  <w:r w:rsidRPr="00745A34">
                    <w:rPr>
                      <w:rFonts w:cs="Arial"/>
                      <w:sz w:val="22"/>
                      <w:szCs w:val="22"/>
                    </w:rPr>
                    <w:t xml:space="preserve">227.817 </w:t>
                  </w:r>
                </w:p>
              </w:tc>
              <w:tc>
                <w:tcPr>
                  <w:tcW w:w="0" w:type="auto"/>
                  <w:gridSpan w:val="3"/>
                  <w:tcBorders>
                    <w:top w:val="dotted" w:sz="4" w:space="0" w:color="auto"/>
                    <w:left w:val="single" w:sz="4" w:space="0" w:color="auto"/>
                    <w:bottom w:val="single" w:sz="4" w:space="0" w:color="auto"/>
                    <w:right w:val="single" w:sz="4" w:space="0" w:color="auto"/>
                  </w:tcBorders>
                  <w:tcMar>
                    <w:top w:w="57" w:type="dxa"/>
                    <w:left w:w="113" w:type="dxa"/>
                    <w:bottom w:w="57" w:type="dxa"/>
                    <w:right w:w="113" w:type="dxa"/>
                  </w:tcMar>
                  <w:hideMark/>
                </w:tcPr>
                <w:p w14:paraId="36477448" w14:textId="77777777" w:rsidR="0052715E" w:rsidRPr="00745A34" w:rsidRDefault="0052715E" w:rsidP="00A24CD6">
                  <w:pPr>
                    <w:spacing w:after="0"/>
                    <w:rPr>
                      <w:rFonts w:cs="Arial"/>
                      <w:sz w:val="22"/>
                      <w:szCs w:val="22"/>
                    </w:rPr>
                  </w:pPr>
                  <w:r w:rsidRPr="00745A34">
                    <w:rPr>
                      <w:rFonts w:cs="Arial"/>
                      <w:sz w:val="22"/>
                      <w:szCs w:val="22"/>
                    </w:rPr>
                    <w:t xml:space="preserve">160.537 </w:t>
                  </w:r>
                </w:p>
              </w:tc>
            </w:tr>
          </w:tbl>
          <w:p w14:paraId="60714B08" w14:textId="77777777" w:rsidR="0052715E" w:rsidRDefault="0052715E" w:rsidP="00A24CD6">
            <w:pPr>
              <w:pStyle w:val="Compact"/>
              <w:jc w:val="center"/>
            </w:pPr>
          </w:p>
        </w:tc>
      </w:tr>
    </w:tbl>
    <w:p w14:paraId="29115120" w14:textId="77777777" w:rsidR="00B37F15" w:rsidRDefault="00000000">
      <w:r>
        <w:br w:type="page"/>
      </w:r>
    </w:p>
    <w:p w14:paraId="18620401" w14:textId="77777777" w:rsidR="00B37F15" w:rsidRDefault="00000000">
      <w:pPr>
        <w:pStyle w:val="Heading2"/>
      </w:pPr>
      <w:bookmarkStart w:id="19" w:name="discussion"/>
      <w:bookmarkEnd w:id="5"/>
      <w:bookmarkEnd w:id="18"/>
      <w:r>
        <w:lastRenderedPageBreak/>
        <w:t>Discussion</w:t>
      </w:r>
    </w:p>
    <w:p w14:paraId="034069DE" w14:textId="77777777" w:rsidR="00B37F15" w:rsidRDefault="00000000">
      <w:pPr>
        <w:pStyle w:val="FirstParagraph"/>
      </w:pPr>
      <w:r>
        <w:t xml:space="preserve">In this study we found three viruses to be at high prevalence in </w:t>
      </w:r>
      <w:r>
        <w:rPr>
          <w:i/>
          <w:iCs/>
        </w:rPr>
        <w:t>Ae. aegypti</w:t>
      </w:r>
      <w:r>
        <w:t xml:space="preserve"> colonies: </w:t>
      </w:r>
      <w:r>
        <w:rPr>
          <w:i/>
          <w:iCs/>
        </w:rPr>
        <w:t>Aedes</w:t>
      </w:r>
      <w:r>
        <w:t xml:space="preserve"> anphevirus, verdadero virus, and Guadeloupe mosquito. Their persistent high prevalence is consistent with minimal fitness costs and an efficient ability to transmit between generations.</w:t>
      </w:r>
    </w:p>
    <w:p w14:paraId="592A1269" w14:textId="77777777" w:rsidR="00B37F15" w:rsidRDefault="00000000">
      <w:pPr>
        <w:pStyle w:val="BodyText"/>
      </w:pPr>
      <w:r>
        <w:t>We measured two types of possible transmission for these viruses: across generations and between cohabitating and mating adults. In both cases, we did not assess exact mechanisms of transmission, and multiple mechanisms may contribute. Transmission to offspring from infected mothers may involve infected eggs (8, 58). Alternatively, the exterior of eggs may harbor infectious virus particles that could infect larvae following hatching. Horizontal transmission between aquatic larvae or pupae is also possible. Regardless of the exact transmission route(s), maternal transmission of all three viruses was efficient, with all or nearly all adult offspring infected. Transmission from infected fathers was uniformly less efficient and could involve infectious virus particles in or on sperm or in seminal fluid (59–61).</w:t>
      </w:r>
    </w:p>
    <w:p w14:paraId="3E1118CB" w14:textId="77777777" w:rsidR="00B37F15" w:rsidRDefault="00000000">
      <w:pPr>
        <w:pStyle w:val="BodyText"/>
      </w:pPr>
      <w:r>
        <w:t xml:space="preserve">Although paternal transmission was less efficient than maternal transmission, it still might contribute meaningfully to the maintenance of these viruses in natural populations (62). Biparentally-transmitted symbionts have the ability to increase in prevalence even if they exact a fitness cost. In contrast, vertically transmitted symbionts with maternal-only transmission are expected to decline in prevalence if there is any fitness cost from infection (62). This is why organisms with maternal-only transmission, like </w:t>
      </w:r>
      <w:r>
        <w:rPr>
          <w:i/>
          <w:iCs/>
        </w:rPr>
        <w:t>Wolbachia</w:t>
      </w:r>
      <w:r>
        <w:t xml:space="preserve"> endosymbiotic bacteria, have frequently evolved mechanisms to manipulate host reproduction to maintain their prevalence in subsequent generations (63). Biparentally-transmitted viruses such as those studied here can persist through vertical transmission alone, provided that the combined maternal and paternal transmission efficiency exceeds 100% and that infection is not too costly (62, 64).</w:t>
      </w:r>
    </w:p>
    <w:p w14:paraId="30F0FBA3" w14:textId="77777777" w:rsidR="00B37F15" w:rsidRDefault="00000000">
      <w:pPr>
        <w:pStyle w:val="BodyText"/>
      </w:pPr>
      <w:r>
        <w:t>Horizontal transmission can also contribute to maintenance of inherited symbionts in host populations (62). Increases in prevalence in New Orleans and Vergel mosquitoes following cohabitation were consistent with possible horizontal transmission, although RNA levels in individual positive adults were much lower than levels in infected offspring. Higher AeAV and GMV prevalences in exposed females following mating are consistent with possible sexual transmission. Whether possible horizontal transmission of these viruses contributes meaningfully to overall prevalence in a background of robust vertical transmission remains to be determined (62).</w:t>
      </w:r>
    </w:p>
    <w:p w14:paraId="27F27887" w14:textId="77777777" w:rsidR="00B37F15" w:rsidRDefault="00000000">
      <w:pPr>
        <w:pStyle w:val="BodyText"/>
      </w:pPr>
      <w:r>
        <w:lastRenderedPageBreak/>
        <w:t>There were several limitations to this study. We did not perform single-pair crosses, so did not measure the infection status of individual parents (65). Some of the uninfected offspring may simply have had uninfected parents. However, parental prevalences were at or near 100% (</w:t>
      </w:r>
      <w:hyperlink w:anchor="fig-anphe">
        <w:r w:rsidR="00B37F15">
          <w:rPr>
            <w:rStyle w:val="Hyperlink"/>
            <w:b/>
            <w:bCs/>
          </w:rPr>
          <w:t>Figure 1</w:t>
        </w:r>
      </w:hyperlink>
      <w:r>
        <w:rPr>
          <w:b/>
          <w:bCs/>
        </w:rPr>
        <w:t xml:space="preserve">, </w:t>
      </w:r>
      <w:hyperlink w:anchor="fig-verd">
        <w:r w:rsidR="00B37F15">
          <w:rPr>
            <w:rStyle w:val="Hyperlink"/>
            <w:b/>
            <w:bCs/>
          </w:rPr>
          <w:t>Figure 2</w:t>
        </w:r>
      </w:hyperlink>
      <w:r>
        <w:rPr>
          <w:b/>
          <w:bCs/>
        </w:rPr>
        <w:t xml:space="preserve">, </w:t>
      </w:r>
      <w:hyperlink w:anchor="fig-gmv">
        <w:r w:rsidR="00B37F15">
          <w:rPr>
            <w:rStyle w:val="Hyperlink"/>
            <w:b/>
            <w:bCs/>
          </w:rPr>
          <w:t>Figure 3</w:t>
        </w:r>
      </w:hyperlink>
      <w:r>
        <w:t xml:space="preserve">), and the large numbers of parents in crosses meant that offspring provided a meaningful sample of population-level transmission efficiencies. We also did not determine the extent to which low level RT-qPCR signals corresponded to genuine low level infections vs positivity from contaminating RNA acquired during cohabitation with infected mosquitoes. We tracked infection dynamics across a single generation of offspring. It is possible that, as with </w:t>
      </w:r>
      <w:r>
        <w:rPr>
          <w:i/>
          <w:iCs/>
        </w:rPr>
        <w:t>Drosophila melanogaster</w:t>
      </w:r>
      <w:r>
        <w:t xml:space="preserve"> sigmavirus, offspring infected paternally are infected but incapable of further vertical transmission (64, 66).</w:t>
      </w:r>
    </w:p>
    <w:p w14:paraId="1C06A47E" w14:textId="77777777" w:rsidR="00B37F15" w:rsidRDefault="00000000">
      <w:pPr>
        <w:pStyle w:val="BodyText"/>
      </w:pPr>
      <w:r>
        <w:t xml:space="preserve">A primary motivation for studying ISVs has been their potential utility in mosquito control and population manipulation. ISVs might be able to naturally decrease vector competence for mosquito-borne pathogens, as do some strains of </w:t>
      </w:r>
      <w:r>
        <w:rPr>
          <w:i/>
          <w:iCs/>
        </w:rPr>
        <w:t>Wolbachia</w:t>
      </w:r>
      <w:r>
        <w:t xml:space="preserve"> (67). Alternatively, engineered derivatives of these viruses could be used to deliver transgenes to mosquito populations for control or experimental purposes (20, 21). The properties that enable these viruses to achieve and remain at a high prevalence in colonies would presumably also be useful in such practical contexts. Beyond these practical applications, studies of ISVs can provide insight into the ecological and evolutionary processes that govern long-term virus-host associations in mosquitoes and other organisms.</w:t>
      </w:r>
    </w:p>
    <w:p w14:paraId="45E13A42" w14:textId="08E2572D" w:rsidR="00B37F15" w:rsidRDefault="00B37F15"/>
    <w:p w14:paraId="6C84D090" w14:textId="77777777" w:rsidR="00B37F15" w:rsidRDefault="00000000">
      <w:pPr>
        <w:pStyle w:val="Heading2"/>
      </w:pPr>
      <w:bookmarkStart w:id="20" w:name="funding"/>
      <w:bookmarkEnd w:id="19"/>
      <w:r>
        <w:t>Funding</w:t>
      </w:r>
    </w:p>
    <w:p w14:paraId="3E42154E" w14:textId="77777777" w:rsidR="00B37F15" w:rsidRDefault="00000000">
      <w:pPr>
        <w:pStyle w:val="FirstParagraph"/>
      </w:pPr>
      <w:r>
        <w:t>This research was supported by NSF IOS 2048214.</w:t>
      </w:r>
    </w:p>
    <w:p w14:paraId="083827E2" w14:textId="77777777" w:rsidR="00B37F15" w:rsidRDefault="00000000">
      <w:pPr>
        <w:pStyle w:val="Heading2"/>
      </w:pPr>
      <w:bookmarkStart w:id="21" w:name="acknowledgements"/>
      <w:bookmarkEnd w:id="20"/>
      <w:r>
        <w:t>Acknowledgements</w:t>
      </w:r>
    </w:p>
    <w:p w14:paraId="6D5EB4B5" w14:textId="00B781A8" w:rsidR="00B37F15" w:rsidRDefault="00000000">
      <w:pPr>
        <w:pStyle w:val="FirstParagraph"/>
      </w:pPr>
      <w:r>
        <w:t>The authors wish to thank Kai Chase, Susi Bennett, Irma Sanchez-Vargas, Megan Miller, Ashley Janich, Greg Pugh,</w:t>
      </w:r>
      <w:r w:rsidR="00802EA7">
        <w:t xml:space="preserve"> and Bill Black IV, posthumously.</w:t>
      </w:r>
    </w:p>
    <w:p w14:paraId="65477904" w14:textId="77777777" w:rsidR="00B37F15" w:rsidRDefault="00000000">
      <w:pPr>
        <w:pStyle w:val="Heading2"/>
      </w:pPr>
      <w:bookmarkStart w:id="22" w:name="data-availability"/>
      <w:bookmarkEnd w:id="21"/>
      <w:r>
        <w:t>Data availability</w:t>
      </w:r>
    </w:p>
    <w:p w14:paraId="01FA72A3" w14:textId="77777777" w:rsidR="00B37F15" w:rsidRDefault="00000000">
      <w:pPr>
        <w:pStyle w:val="FirstParagraph"/>
      </w:pPr>
      <w:r>
        <w:t>This paper is implemented as a fully reproducible workflow based on make, nextflow, and singularity. Code and data for this paper are available at: https://github.com/tdunham19/CM3_Mosquito_Paper</w:t>
      </w:r>
    </w:p>
    <w:p w14:paraId="7B59E3AC" w14:textId="77777777" w:rsidR="00B37F15" w:rsidRDefault="00000000">
      <w:pPr>
        <w:pStyle w:val="Heading2"/>
      </w:pPr>
      <w:bookmarkStart w:id="23" w:name="references"/>
      <w:bookmarkEnd w:id="22"/>
      <w:r>
        <w:lastRenderedPageBreak/>
        <w:t>References</w:t>
      </w:r>
    </w:p>
    <w:p w14:paraId="4280300B" w14:textId="77777777" w:rsidR="00B37F15" w:rsidRDefault="00000000">
      <w:pPr>
        <w:pStyle w:val="Bibliography"/>
      </w:pPr>
      <w:bookmarkStart w:id="24" w:name="ref-Souza_Neto_2019"/>
      <w:bookmarkStart w:id="25" w:name="refs"/>
      <w:r>
        <w:t xml:space="preserve">1. </w:t>
      </w:r>
      <w:r>
        <w:tab/>
      </w:r>
      <w:r>
        <w:rPr>
          <w:b/>
          <w:bCs/>
        </w:rPr>
        <w:t>Souza-Neto JA</w:t>
      </w:r>
      <w:r>
        <w:t xml:space="preserve">, </w:t>
      </w:r>
      <w:r>
        <w:rPr>
          <w:b/>
          <w:bCs/>
        </w:rPr>
        <w:t>Powell JR</w:t>
      </w:r>
      <w:r>
        <w:t xml:space="preserve">, </w:t>
      </w:r>
      <w:r>
        <w:rPr>
          <w:b/>
          <w:bCs/>
        </w:rPr>
        <w:t>Bonizzoni M</w:t>
      </w:r>
      <w:r>
        <w:t xml:space="preserve">. 2019. Aedes aegypti vector competence studies: A review. Infection, Genetics and Evolution </w:t>
      </w:r>
      <w:r>
        <w:rPr>
          <w:b/>
          <w:bCs/>
        </w:rPr>
        <w:t>67</w:t>
      </w:r>
      <w:r>
        <w:t>:191–209. doi:</w:t>
      </w:r>
      <w:hyperlink r:id="rId20">
        <w:r w:rsidR="00B37F15">
          <w:rPr>
            <w:rStyle w:val="Hyperlink"/>
          </w:rPr>
          <w:t>10.1016/j.meegid.2018.11.009</w:t>
        </w:r>
      </w:hyperlink>
      <w:r>
        <w:t>.</w:t>
      </w:r>
    </w:p>
    <w:p w14:paraId="4ABFFAC6" w14:textId="77777777" w:rsidR="00B37F15" w:rsidRDefault="00000000">
      <w:pPr>
        <w:pStyle w:val="Bibliography"/>
      </w:pPr>
      <w:bookmarkStart w:id="26" w:name="ref-Mgongoma_2026"/>
      <w:bookmarkEnd w:id="24"/>
      <w:r>
        <w:t xml:space="preserve">2. </w:t>
      </w:r>
      <w:r>
        <w:tab/>
      </w:r>
      <w:r>
        <w:rPr>
          <w:b/>
          <w:bCs/>
        </w:rPr>
        <w:t>Mgongoma M</w:t>
      </w:r>
      <w:r>
        <w:t xml:space="preserve">, </w:t>
      </w:r>
      <w:r>
        <w:rPr>
          <w:b/>
          <w:bCs/>
        </w:rPr>
        <w:t>Bastos A</w:t>
      </w:r>
      <w:r>
        <w:t xml:space="preserve">, </w:t>
      </w:r>
      <w:r>
        <w:rPr>
          <w:b/>
          <w:bCs/>
        </w:rPr>
        <w:t>Ramoelo A</w:t>
      </w:r>
      <w:r>
        <w:t xml:space="preserve">, </w:t>
      </w:r>
      <w:r>
        <w:rPr>
          <w:b/>
          <w:bCs/>
        </w:rPr>
        <w:t>Tchouassi DP</w:t>
      </w:r>
      <w:r>
        <w:t xml:space="preserve">. 2026. A systematic review and meta-analysis of mosquito arboviral infections detected through xenosurveillance in africa: A focus on west nile, rift valley fever, and chikungunya virus infections. Current Research in Parasitology &amp;amp; Vector-Borne Diseases </w:t>
      </w:r>
      <w:r>
        <w:rPr>
          <w:b/>
          <w:bCs/>
        </w:rPr>
        <w:t>9</w:t>
      </w:r>
      <w:r>
        <w:t>:100360. doi:</w:t>
      </w:r>
      <w:hyperlink r:id="rId21">
        <w:r w:rsidR="00B37F15">
          <w:rPr>
            <w:rStyle w:val="Hyperlink"/>
          </w:rPr>
          <w:t>10.1016/j.crpvbd.2026.100360</w:t>
        </w:r>
      </w:hyperlink>
      <w:r>
        <w:t>.</w:t>
      </w:r>
    </w:p>
    <w:p w14:paraId="42046388" w14:textId="77777777" w:rsidR="00B37F15" w:rsidRDefault="00000000">
      <w:pPr>
        <w:pStyle w:val="Bibliography"/>
      </w:pPr>
      <w:bookmarkStart w:id="27" w:name="ref-Blitvich_2015"/>
      <w:bookmarkEnd w:id="26"/>
      <w:r>
        <w:t xml:space="preserve">3. </w:t>
      </w:r>
      <w:r>
        <w:tab/>
      </w:r>
      <w:r>
        <w:rPr>
          <w:b/>
          <w:bCs/>
        </w:rPr>
        <w:t>Blitvich B</w:t>
      </w:r>
      <w:r>
        <w:t xml:space="preserve">, </w:t>
      </w:r>
      <w:r>
        <w:rPr>
          <w:b/>
          <w:bCs/>
        </w:rPr>
        <w:t>Firth A</w:t>
      </w:r>
      <w:r>
        <w:t xml:space="preserve">. 2015. Insect-specific flaviviruses: A systematic review of their discovery, host range, mode of transmission, superinfection exclusion potential and genomic organization. Viruses </w:t>
      </w:r>
      <w:r>
        <w:rPr>
          <w:b/>
          <w:bCs/>
        </w:rPr>
        <w:t>7</w:t>
      </w:r>
      <w:r>
        <w:t>:1927–1959. doi:</w:t>
      </w:r>
      <w:hyperlink r:id="rId22">
        <w:r w:rsidR="00B37F15">
          <w:rPr>
            <w:rStyle w:val="Hyperlink"/>
          </w:rPr>
          <w:t>10.3390/v7041927</w:t>
        </w:r>
      </w:hyperlink>
      <w:r>
        <w:t>.</w:t>
      </w:r>
    </w:p>
    <w:p w14:paraId="3D6B3DEF" w14:textId="77777777" w:rsidR="00B37F15" w:rsidRDefault="00000000">
      <w:pPr>
        <w:pStyle w:val="Bibliography"/>
      </w:pPr>
      <w:bookmarkStart w:id="28" w:name="ref-Bolling_2015"/>
      <w:bookmarkEnd w:id="27"/>
      <w:r>
        <w:t xml:space="preserve">4. </w:t>
      </w:r>
      <w:r>
        <w:tab/>
      </w:r>
      <w:r>
        <w:rPr>
          <w:b/>
          <w:bCs/>
        </w:rPr>
        <w:t>Bolling B</w:t>
      </w:r>
      <w:r>
        <w:t xml:space="preserve">, </w:t>
      </w:r>
      <w:r>
        <w:rPr>
          <w:b/>
          <w:bCs/>
        </w:rPr>
        <w:t>Weaver S</w:t>
      </w:r>
      <w:r>
        <w:t xml:space="preserve">, </w:t>
      </w:r>
      <w:r>
        <w:rPr>
          <w:b/>
          <w:bCs/>
        </w:rPr>
        <w:t>Tesh R</w:t>
      </w:r>
      <w:r>
        <w:t xml:space="preserve">, </w:t>
      </w:r>
      <w:r>
        <w:rPr>
          <w:b/>
          <w:bCs/>
        </w:rPr>
        <w:t>Vasilakis N</w:t>
      </w:r>
      <w:r>
        <w:t xml:space="preserve">. 2015. Insect-specific virus discovery: Significance for the arbovirus community. Viruses </w:t>
      </w:r>
      <w:r>
        <w:rPr>
          <w:b/>
          <w:bCs/>
        </w:rPr>
        <w:t>7</w:t>
      </w:r>
      <w:r>
        <w:t>:4911–4928. doi:</w:t>
      </w:r>
      <w:hyperlink r:id="rId23">
        <w:r w:rsidR="00B37F15">
          <w:rPr>
            <w:rStyle w:val="Hyperlink"/>
          </w:rPr>
          <w:t>10.3390/v7092851</w:t>
        </w:r>
      </w:hyperlink>
      <w:r>
        <w:t>.</w:t>
      </w:r>
    </w:p>
    <w:p w14:paraId="5633D862" w14:textId="77777777" w:rsidR="00B37F15" w:rsidRDefault="00000000">
      <w:pPr>
        <w:pStyle w:val="Bibliography"/>
      </w:pPr>
      <w:bookmarkStart w:id="29" w:name="ref-Vasilakis_2015"/>
      <w:bookmarkEnd w:id="28"/>
      <w:r>
        <w:t xml:space="preserve">5. </w:t>
      </w:r>
      <w:r>
        <w:tab/>
      </w:r>
      <w:r>
        <w:rPr>
          <w:b/>
          <w:bCs/>
        </w:rPr>
        <w:t>Vasilakis N</w:t>
      </w:r>
      <w:r>
        <w:t xml:space="preserve">, </w:t>
      </w:r>
      <w:r>
        <w:rPr>
          <w:b/>
          <w:bCs/>
        </w:rPr>
        <w:t>Tesh RB</w:t>
      </w:r>
      <w:r>
        <w:t xml:space="preserve">. 2015. Insect-specific viruses and their potential impact on arbovirus transmission. Current Opinion in Virology </w:t>
      </w:r>
      <w:r>
        <w:rPr>
          <w:b/>
          <w:bCs/>
        </w:rPr>
        <w:t>15</w:t>
      </w:r>
      <w:r>
        <w:t>:69–74. doi:</w:t>
      </w:r>
      <w:hyperlink r:id="rId24">
        <w:r w:rsidR="00B37F15">
          <w:rPr>
            <w:rStyle w:val="Hyperlink"/>
          </w:rPr>
          <w:t>10.1016/j.coviro.2015.08.007</w:t>
        </w:r>
      </w:hyperlink>
      <w:r>
        <w:t>.</w:t>
      </w:r>
    </w:p>
    <w:p w14:paraId="1E010A49" w14:textId="77777777" w:rsidR="00B37F15" w:rsidRDefault="00000000">
      <w:pPr>
        <w:pStyle w:val="Bibliography"/>
      </w:pPr>
      <w:bookmarkStart w:id="30" w:name="ref-Agboli_2019"/>
      <w:bookmarkEnd w:id="29"/>
      <w:r>
        <w:t xml:space="preserve">6. </w:t>
      </w:r>
      <w:r>
        <w:tab/>
      </w:r>
      <w:r>
        <w:rPr>
          <w:b/>
          <w:bCs/>
        </w:rPr>
        <w:t>Agboli E</w:t>
      </w:r>
      <w:r>
        <w:t xml:space="preserve">, </w:t>
      </w:r>
      <w:r>
        <w:rPr>
          <w:b/>
          <w:bCs/>
        </w:rPr>
        <w:t>Leggewie M</w:t>
      </w:r>
      <w:r>
        <w:t xml:space="preserve">, </w:t>
      </w:r>
      <w:r>
        <w:rPr>
          <w:b/>
          <w:bCs/>
        </w:rPr>
        <w:t>Altinli M</w:t>
      </w:r>
      <w:r>
        <w:t xml:space="preserve">, </w:t>
      </w:r>
      <w:r>
        <w:rPr>
          <w:b/>
          <w:bCs/>
        </w:rPr>
        <w:t>Schnettler E</w:t>
      </w:r>
      <w:r>
        <w:t xml:space="preserve">. 2019. Mosquito-specific viruses—transmission and interaction. Viruses </w:t>
      </w:r>
      <w:r>
        <w:rPr>
          <w:b/>
          <w:bCs/>
        </w:rPr>
        <w:t>11</w:t>
      </w:r>
      <w:r>
        <w:t>:873. doi:</w:t>
      </w:r>
      <w:hyperlink r:id="rId25">
        <w:r w:rsidR="00B37F15">
          <w:rPr>
            <w:rStyle w:val="Hyperlink"/>
          </w:rPr>
          <w:t>10.3390/v11090873</w:t>
        </w:r>
      </w:hyperlink>
      <w:r>
        <w:t>.</w:t>
      </w:r>
    </w:p>
    <w:p w14:paraId="28F44E77" w14:textId="77777777" w:rsidR="00B37F15" w:rsidRDefault="00000000">
      <w:pPr>
        <w:pStyle w:val="Bibliography"/>
      </w:pPr>
      <w:bookmarkStart w:id="31" w:name="ref-Moonen_2023"/>
      <w:bookmarkEnd w:id="30"/>
      <w:r>
        <w:t xml:space="preserve">7. </w:t>
      </w:r>
      <w:r>
        <w:tab/>
      </w:r>
      <w:r>
        <w:rPr>
          <w:b/>
          <w:bCs/>
        </w:rPr>
        <w:t>Moonen JP</w:t>
      </w:r>
      <w:r>
        <w:t xml:space="preserve">, </w:t>
      </w:r>
      <w:r>
        <w:rPr>
          <w:b/>
          <w:bCs/>
        </w:rPr>
        <w:t>Schinkel M</w:t>
      </w:r>
      <w:r>
        <w:t xml:space="preserve">, </w:t>
      </w:r>
      <w:r>
        <w:rPr>
          <w:b/>
          <w:bCs/>
        </w:rPr>
        <w:t>Most T van der</w:t>
      </w:r>
      <w:r>
        <w:t xml:space="preserve">, </w:t>
      </w:r>
      <w:r>
        <w:rPr>
          <w:b/>
          <w:bCs/>
        </w:rPr>
        <w:t>Miesen P</w:t>
      </w:r>
      <w:r>
        <w:t xml:space="preserve">, </w:t>
      </w:r>
      <w:r>
        <w:rPr>
          <w:b/>
          <w:bCs/>
        </w:rPr>
        <w:t>Rij RP van</w:t>
      </w:r>
      <w:r>
        <w:t xml:space="preserve">. 2023. Composition and global distribution of the mosquito virome - a comprehensive database of insect-specific viruses. One Health </w:t>
      </w:r>
      <w:r>
        <w:rPr>
          <w:b/>
          <w:bCs/>
        </w:rPr>
        <w:t>16</w:t>
      </w:r>
      <w:r>
        <w:t>:100490. doi:</w:t>
      </w:r>
      <w:hyperlink r:id="rId26">
        <w:r w:rsidR="00B37F15">
          <w:rPr>
            <w:rStyle w:val="Hyperlink"/>
          </w:rPr>
          <w:t>10.1016/j.onehlt.2023.100490</w:t>
        </w:r>
      </w:hyperlink>
      <w:r>
        <w:t>.</w:t>
      </w:r>
    </w:p>
    <w:p w14:paraId="3F72EAB2" w14:textId="77777777" w:rsidR="00B37F15" w:rsidRDefault="00000000">
      <w:pPr>
        <w:pStyle w:val="Bibliography"/>
      </w:pPr>
      <w:bookmarkStart w:id="32" w:name="ref-Wilkman_2025"/>
      <w:bookmarkEnd w:id="31"/>
      <w:r>
        <w:t xml:space="preserve">8. </w:t>
      </w:r>
      <w:r>
        <w:tab/>
      </w:r>
      <w:r>
        <w:rPr>
          <w:b/>
          <w:bCs/>
        </w:rPr>
        <w:t>Wilkman L</w:t>
      </w:r>
      <w:r>
        <w:t xml:space="preserve">, </w:t>
      </w:r>
      <w:r>
        <w:rPr>
          <w:b/>
          <w:bCs/>
        </w:rPr>
        <w:t>Kaarle E</w:t>
      </w:r>
      <w:r>
        <w:t xml:space="preserve">, </w:t>
      </w:r>
      <w:r>
        <w:rPr>
          <w:b/>
          <w:bCs/>
        </w:rPr>
        <w:t>Luande VN</w:t>
      </w:r>
      <w:r>
        <w:t xml:space="preserve">, </w:t>
      </w:r>
      <w:r>
        <w:rPr>
          <w:b/>
          <w:bCs/>
        </w:rPr>
        <w:t>Lantto R</w:t>
      </w:r>
      <w:r>
        <w:t xml:space="preserve">, </w:t>
      </w:r>
      <w:r>
        <w:rPr>
          <w:b/>
          <w:bCs/>
        </w:rPr>
        <w:t>Evander M</w:t>
      </w:r>
      <w:r>
        <w:t xml:space="preserve">, </w:t>
      </w:r>
      <w:r>
        <w:rPr>
          <w:b/>
          <w:bCs/>
        </w:rPr>
        <w:t>Lwande OW</w:t>
      </w:r>
      <w:r>
        <w:t xml:space="preserve">. 2025. Insect-specific viruses: Transmission dynamics and biological control strategies against arboviruses. Frontiers in Microbiology </w:t>
      </w:r>
      <w:r>
        <w:rPr>
          <w:b/>
          <w:bCs/>
        </w:rPr>
        <w:t>16</w:t>
      </w:r>
      <w:r>
        <w:t>. doi:</w:t>
      </w:r>
      <w:hyperlink r:id="rId27">
        <w:r w:rsidR="00B37F15">
          <w:rPr>
            <w:rStyle w:val="Hyperlink"/>
          </w:rPr>
          <w:t>10.3389/fmicb.2025.1624662</w:t>
        </w:r>
      </w:hyperlink>
      <w:r>
        <w:t>.</w:t>
      </w:r>
    </w:p>
    <w:p w14:paraId="36A282BC" w14:textId="77777777" w:rsidR="00B37F15" w:rsidRDefault="00000000">
      <w:pPr>
        <w:pStyle w:val="Bibliography"/>
      </w:pPr>
      <w:bookmarkStart w:id="33" w:name="ref-Stollar_1975"/>
      <w:bookmarkEnd w:id="32"/>
      <w:r>
        <w:t xml:space="preserve">9. </w:t>
      </w:r>
      <w:r>
        <w:tab/>
      </w:r>
      <w:r>
        <w:rPr>
          <w:b/>
          <w:bCs/>
        </w:rPr>
        <w:t>Stollar V</w:t>
      </w:r>
      <w:r>
        <w:t xml:space="preserve">, </w:t>
      </w:r>
      <w:r>
        <w:rPr>
          <w:b/>
          <w:bCs/>
        </w:rPr>
        <w:t>Thomas VL</w:t>
      </w:r>
      <w:r>
        <w:t xml:space="preserve">. 1975. An agent in the aedes aegypti cell line (peleg) which causes fusion of aedes albopictus cells. Virology </w:t>
      </w:r>
      <w:r>
        <w:rPr>
          <w:b/>
          <w:bCs/>
        </w:rPr>
        <w:t>64</w:t>
      </w:r>
      <w:r>
        <w:t>:367–377. doi:</w:t>
      </w:r>
      <w:hyperlink r:id="rId28">
        <w:r w:rsidR="00B37F15">
          <w:rPr>
            <w:rStyle w:val="Hyperlink"/>
          </w:rPr>
          <w:t>10.1016/0042-6822(75)90113-0</w:t>
        </w:r>
      </w:hyperlink>
      <w:r>
        <w:t>.</w:t>
      </w:r>
    </w:p>
    <w:p w14:paraId="137E387F" w14:textId="77777777" w:rsidR="00B37F15" w:rsidRDefault="00000000">
      <w:pPr>
        <w:pStyle w:val="Bibliography"/>
      </w:pPr>
      <w:bookmarkStart w:id="34" w:name="ref-Ng_2011"/>
      <w:bookmarkEnd w:id="33"/>
      <w:r>
        <w:t xml:space="preserve">10. </w:t>
      </w:r>
      <w:r>
        <w:tab/>
      </w:r>
      <w:r>
        <w:rPr>
          <w:b/>
          <w:bCs/>
        </w:rPr>
        <w:t>Ng TFF</w:t>
      </w:r>
      <w:r>
        <w:t xml:space="preserve">, </w:t>
      </w:r>
      <w:r>
        <w:rPr>
          <w:b/>
          <w:bCs/>
        </w:rPr>
        <w:t>Willner DL</w:t>
      </w:r>
      <w:r>
        <w:t xml:space="preserve">, </w:t>
      </w:r>
      <w:r>
        <w:rPr>
          <w:b/>
          <w:bCs/>
        </w:rPr>
        <w:t>Lim YW</w:t>
      </w:r>
      <w:r>
        <w:t xml:space="preserve">, </w:t>
      </w:r>
      <w:r>
        <w:rPr>
          <w:b/>
          <w:bCs/>
        </w:rPr>
        <w:t>Schmieder R</w:t>
      </w:r>
      <w:r>
        <w:t xml:space="preserve">, </w:t>
      </w:r>
      <w:r>
        <w:rPr>
          <w:b/>
          <w:bCs/>
        </w:rPr>
        <w:t>Chau B</w:t>
      </w:r>
      <w:r>
        <w:t xml:space="preserve">, </w:t>
      </w:r>
      <w:r>
        <w:rPr>
          <w:b/>
          <w:bCs/>
        </w:rPr>
        <w:t>Nilsson C</w:t>
      </w:r>
      <w:r>
        <w:t xml:space="preserve">, </w:t>
      </w:r>
      <w:r>
        <w:rPr>
          <w:b/>
          <w:bCs/>
        </w:rPr>
        <w:t>Anthony S</w:t>
      </w:r>
      <w:r>
        <w:t xml:space="preserve">, </w:t>
      </w:r>
      <w:r>
        <w:rPr>
          <w:b/>
          <w:bCs/>
        </w:rPr>
        <w:t>Ruan Y</w:t>
      </w:r>
      <w:r>
        <w:t xml:space="preserve">, </w:t>
      </w:r>
      <w:r>
        <w:rPr>
          <w:b/>
          <w:bCs/>
        </w:rPr>
        <w:t>Rohwer F</w:t>
      </w:r>
      <w:r>
        <w:t xml:space="preserve">, </w:t>
      </w:r>
      <w:r>
        <w:rPr>
          <w:b/>
          <w:bCs/>
        </w:rPr>
        <w:t>Breitbart M</w:t>
      </w:r>
      <w:r>
        <w:t xml:space="preserve">. 2011. Broad surveys of DNA viral diversity obtained through viral metagenomics of mosquitoes. PLoS ONE </w:t>
      </w:r>
      <w:r>
        <w:rPr>
          <w:b/>
          <w:bCs/>
        </w:rPr>
        <w:t>6</w:t>
      </w:r>
      <w:r>
        <w:t>:e20579. doi:</w:t>
      </w:r>
      <w:hyperlink r:id="rId29">
        <w:r w:rsidR="00B37F15">
          <w:rPr>
            <w:rStyle w:val="Hyperlink"/>
          </w:rPr>
          <w:t>10.1371/journal.pone.0020579</w:t>
        </w:r>
      </w:hyperlink>
      <w:r>
        <w:t>.</w:t>
      </w:r>
    </w:p>
    <w:p w14:paraId="6C4A1D93" w14:textId="77777777" w:rsidR="00B37F15" w:rsidRDefault="00000000">
      <w:pPr>
        <w:pStyle w:val="Bibliography"/>
      </w:pPr>
      <w:bookmarkStart w:id="35" w:name="ref-Fauver_2016"/>
      <w:bookmarkEnd w:id="34"/>
      <w:r>
        <w:lastRenderedPageBreak/>
        <w:t xml:space="preserve">11. </w:t>
      </w:r>
      <w:r>
        <w:tab/>
      </w:r>
      <w:r>
        <w:rPr>
          <w:b/>
          <w:bCs/>
        </w:rPr>
        <w:t>Fauver JR</w:t>
      </w:r>
      <w:r>
        <w:t xml:space="preserve">, </w:t>
      </w:r>
      <w:r>
        <w:rPr>
          <w:b/>
          <w:bCs/>
        </w:rPr>
        <w:t>Grubaugh ND</w:t>
      </w:r>
      <w:r>
        <w:t xml:space="preserve">, </w:t>
      </w:r>
      <w:r>
        <w:rPr>
          <w:b/>
          <w:bCs/>
        </w:rPr>
        <w:t>Krajacich BJ</w:t>
      </w:r>
      <w:r>
        <w:t xml:space="preserve">, </w:t>
      </w:r>
      <w:r>
        <w:rPr>
          <w:b/>
          <w:bCs/>
        </w:rPr>
        <w:t>Weger-Lucarelli J</w:t>
      </w:r>
      <w:r>
        <w:t xml:space="preserve">, </w:t>
      </w:r>
      <w:r>
        <w:rPr>
          <w:b/>
          <w:bCs/>
        </w:rPr>
        <w:t>Lakin SM</w:t>
      </w:r>
      <w:r>
        <w:t xml:space="preserve">, </w:t>
      </w:r>
      <w:r>
        <w:rPr>
          <w:b/>
          <w:bCs/>
        </w:rPr>
        <w:t>Fakoli LS</w:t>
      </w:r>
      <w:r>
        <w:t xml:space="preserve">, </w:t>
      </w:r>
      <w:r>
        <w:rPr>
          <w:b/>
          <w:bCs/>
        </w:rPr>
        <w:t>Bolay FK</w:t>
      </w:r>
      <w:r>
        <w:t xml:space="preserve">, </w:t>
      </w:r>
      <w:r>
        <w:rPr>
          <w:b/>
          <w:bCs/>
        </w:rPr>
        <w:t>Diclaro JW</w:t>
      </w:r>
      <w:r>
        <w:t xml:space="preserve">, </w:t>
      </w:r>
      <w:r>
        <w:rPr>
          <w:b/>
          <w:bCs/>
        </w:rPr>
        <w:t>Dabiré KR</w:t>
      </w:r>
      <w:r>
        <w:t xml:space="preserve">, </w:t>
      </w:r>
      <w:r>
        <w:rPr>
          <w:b/>
          <w:bCs/>
        </w:rPr>
        <w:t>Foy BD</w:t>
      </w:r>
      <w:r>
        <w:t xml:space="preserve">, </w:t>
      </w:r>
      <w:r>
        <w:rPr>
          <w:b/>
          <w:bCs/>
        </w:rPr>
        <w:t>Brackney DE</w:t>
      </w:r>
      <w:r>
        <w:t xml:space="preserve">, </w:t>
      </w:r>
      <w:r>
        <w:rPr>
          <w:b/>
          <w:bCs/>
        </w:rPr>
        <w:t>Ebel GD</w:t>
      </w:r>
      <w:r>
        <w:t xml:space="preserve">, </w:t>
      </w:r>
      <w:r>
        <w:rPr>
          <w:b/>
          <w:bCs/>
        </w:rPr>
        <w:t>Stenglein MD</w:t>
      </w:r>
      <w:r>
        <w:t xml:space="preserve">. 2016. West african anopheles gambiae mosquitoes harbor a taxonomically diverse virome including new insect-specific flaviviruses, mononegaviruses, and totiviruses. Virology </w:t>
      </w:r>
      <w:r>
        <w:rPr>
          <w:b/>
          <w:bCs/>
        </w:rPr>
        <w:t>498</w:t>
      </w:r>
      <w:r>
        <w:t>:288–299. doi:</w:t>
      </w:r>
      <w:hyperlink r:id="rId30">
        <w:r w:rsidR="00B37F15">
          <w:rPr>
            <w:rStyle w:val="Hyperlink"/>
          </w:rPr>
          <w:t>10.1016/j.virol.2016.07.031</w:t>
        </w:r>
      </w:hyperlink>
      <w:r>
        <w:t>.</w:t>
      </w:r>
    </w:p>
    <w:p w14:paraId="725D8E81" w14:textId="77777777" w:rsidR="00B37F15" w:rsidRDefault="00000000">
      <w:pPr>
        <w:pStyle w:val="Bibliography"/>
      </w:pPr>
      <w:bookmarkStart w:id="36" w:name="ref-Shi_2016"/>
      <w:bookmarkEnd w:id="35"/>
      <w:r>
        <w:t xml:space="preserve">12. </w:t>
      </w:r>
      <w:r>
        <w:tab/>
      </w:r>
      <w:r>
        <w:rPr>
          <w:b/>
          <w:bCs/>
        </w:rPr>
        <w:t>Shi M</w:t>
      </w:r>
      <w:r>
        <w:t xml:space="preserve">, </w:t>
      </w:r>
      <w:r>
        <w:rPr>
          <w:b/>
          <w:bCs/>
        </w:rPr>
        <w:t>Lin X-D</w:t>
      </w:r>
      <w:r>
        <w:t xml:space="preserve">, </w:t>
      </w:r>
      <w:r>
        <w:rPr>
          <w:b/>
          <w:bCs/>
        </w:rPr>
        <w:t>Tian J-H</w:t>
      </w:r>
      <w:r>
        <w:t xml:space="preserve">, </w:t>
      </w:r>
      <w:r>
        <w:rPr>
          <w:b/>
          <w:bCs/>
        </w:rPr>
        <w:t>Chen L-J</w:t>
      </w:r>
      <w:r>
        <w:t xml:space="preserve">, </w:t>
      </w:r>
      <w:r>
        <w:rPr>
          <w:b/>
          <w:bCs/>
        </w:rPr>
        <w:t>Chen X</w:t>
      </w:r>
      <w:r>
        <w:t xml:space="preserve">, </w:t>
      </w:r>
      <w:r>
        <w:rPr>
          <w:b/>
          <w:bCs/>
        </w:rPr>
        <w:t>Li C-X</w:t>
      </w:r>
      <w:r>
        <w:t xml:space="preserve">, </w:t>
      </w:r>
      <w:r>
        <w:rPr>
          <w:b/>
          <w:bCs/>
        </w:rPr>
        <w:t>Qin X-C</w:t>
      </w:r>
      <w:r>
        <w:t xml:space="preserve">, </w:t>
      </w:r>
      <w:r>
        <w:rPr>
          <w:b/>
          <w:bCs/>
        </w:rPr>
        <w:t>Li J</w:t>
      </w:r>
      <w:r>
        <w:t xml:space="preserve">, </w:t>
      </w:r>
      <w:r>
        <w:rPr>
          <w:b/>
          <w:bCs/>
        </w:rPr>
        <w:t>Cao J-P</w:t>
      </w:r>
      <w:r>
        <w:t xml:space="preserve">, </w:t>
      </w:r>
      <w:r>
        <w:rPr>
          <w:b/>
          <w:bCs/>
        </w:rPr>
        <w:t>Eden J-S</w:t>
      </w:r>
      <w:r>
        <w:t xml:space="preserve">, </w:t>
      </w:r>
      <w:r>
        <w:rPr>
          <w:b/>
          <w:bCs/>
        </w:rPr>
        <w:t>Buchmann J</w:t>
      </w:r>
      <w:r>
        <w:t xml:space="preserve">, </w:t>
      </w:r>
      <w:r>
        <w:rPr>
          <w:b/>
          <w:bCs/>
        </w:rPr>
        <w:t>Wang W</w:t>
      </w:r>
      <w:r>
        <w:t xml:space="preserve">, </w:t>
      </w:r>
      <w:r>
        <w:rPr>
          <w:b/>
          <w:bCs/>
        </w:rPr>
        <w:t>Xu J</w:t>
      </w:r>
      <w:r>
        <w:t xml:space="preserve">, </w:t>
      </w:r>
      <w:r>
        <w:rPr>
          <w:b/>
          <w:bCs/>
        </w:rPr>
        <w:t>Holmes EC</w:t>
      </w:r>
      <w:r>
        <w:t xml:space="preserve">, </w:t>
      </w:r>
      <w:r>
        <w:rPr>
          <w:b/>
          <w:bCs/>
        </w:rPr>
        <w:t>Zhang Y-Z</w:t>
      </w:r>
      <w:r>
        <w:t xml:space="preserve">. 2016. Redefining the invertebrate RNA virosphere. Nature </w:t>
      </w:r>
      <w:r>
        <w:rPr>
          <w:b/>
          <w:bCs/>
        </w:rPr>
        <w:t>540</w:t>
      </w:r>
      <w:r>
        <w:t>:539–543. doi:</w:t>
      </w:r>
      <w:hyperlink r:id="rId31">
        <w:r w:rsidR="00B37F15">
          <w:rPr>
            <w:rStyle w:val="Hyperlink"/>
          </w:rPr>
          <w:t>10.1038/nature20167</w:t>
        </w:r>
      </w:hyperlink>
      <w:r>
        <w:t>.</w:t>
      </w:r>
    </w:p>
    <w:p w14:paraId="0A30DFAE" w14:textId="77777777" w:rsidR="00B37F15" w:rsidRDefault="00000000">
      <w:pPr>
        <w:pStyle w:val="Bibliography"/>
      </w:pPr>
      <w:bookmarkStart w:id="37" w:name="ref-Calisher_2018"/>
      <w:bookmarkEnd w:id="36"/>
      <w:r>
        <w:t xml:space="preserve">13. </w:t>
      </w:r>
      <w:r>
        <w:tab/>
      </w:r>
      <w:r>
        <w:rPr>
          <w:b/>
          <w:bCs/>
        </w:rPr>
        <w:t>Calisher CH</w:t>
      </w:r>
      <w:r>
        <w:t xml:space="preserve">, </w:t>
      </w:r>
      <w:r>
        <w:rPr>
          <w:b/>
          <w:bCs/>
        </w:rPr>
        <w:t>Higgs S</w:t>
      </w:r>
      <w:r>
        <w:t xml:space="preserve">. 2018. The discovery of arthropod-specific viruses in hematophagous arthropods: An open door to understanding the mechanisms of arbovirus and arthropod evolution? Annual Review of Entomology </w:t>
      </w:r>
      <w:r>
        <w:rPr>
          <w:b/>
          <w:bCs/>
        </w:rPr>
        <w:t>63</w:t>
      </w:r>
      <w:r>
        <w:t>:87–103. doi:</w:t>
      </w:r>
      <w:hyperlink r:id="rId32">
        <w:r w:rsidR="00B37F15">
          <w:rPr>
            <w:rStyle w:val="Hyperlink"/>
          </w:rPr>
          <w:t>10.1146/annurev-ento-020117-043033</w:t>
        </w:r>
      </w:hyperlink>
      <w:r>
        <w:t>.</w:t>
      </w:r>
    </w:p>
    <w:p w14:paraId="1001D095" w14:textId="77777777" w:rsidR="00B37F15" w:rsidRDefault="00000000">
      <w:pPr>
        <w:pStyle w:val="Bibliography"/>
      </w:pPr>
      <w:bookmarkStart w:id="38" w:name="ref-Sadeghi_2018"/>
      <w:bookmarkEnd w:id="37"/>
      <w:r>
        <w:t xml:space="preserve">14. </w:t>
      </w:r>
      <w:r>
        <w:tab/>
      </w:r>
      <w:r>
        <w:rPr>
          <w:b/>
          <w:bCs/>
        </w:rPr>
        <w:t>Sadeghi M</w:t>
      </w:r>
      <w:r>
        <w:t xml:space="preserve">, </w:t>
      </w:r>
      <w:r>
        <w:rPr>
          <w:b/>
          <w:bCs/>
        </w:rPr>
        <w:t>Altan E</w:t>
      </w:r>
      <w:r>
        <w:t xml:space="preserve">, </w:t>
      </w:r>
      <w:r>
        <w:rPr>
          <w:b/>
          <w:bCs/>
        </w:rPr>
        <w:t>Deng X</w:t>
      </w:r>
      <w:r>
        <w:t xml:space="preserve">, </w:t>
      </w:r>
      <w:r>
        <w:rPr>
          <w:b/>
          <w:bCs/>
        </w:rPr>
        <w:t>Barker CM</w:t>
      </w:r>
      <w:r>
        <w:t xml:space="preserve">, </w:t>
      </w:r>
      <w:r>
        <w:rPr>
          <w:b/>
          <w:bCs/>
        </w:rPr>
        <w:t>Fang Y</w:t>
      </w:r>
      <w:r>
        <w:t xml:space="preserve">, </w:t>
      </w:r>
      <w:r>
        <w:rPr>
          <w:b/>
          <w:bCs/>
        </w:rPr>
        <w:t>Coffey LL</w:t>
      </w:r>
      <w:r>
        <w:t xml:space="preserve">, </w:t>
      </w:r>
      <w:r>
        <w:rPr>
          <w:b/>
          <w:bCs/>
        </w:rPr>
        <w:t>Delwart E</w:t>
      </w:r>
      <w:r>
        <w:t xml:space="preserve">. 2018. Virome of &amp;gt; 12 thousand culex mosquitoes from throughout california. Virology </w:t>
      </w:r>
      <w:r>
        <w:rPr>
          <w:b/>
          <w:bCs/>
        </w:rPr>
        <w:t>523</w:t>
      </w:r>
      <w:r>
        <w:t>:74–88. doi:</w:t>
      </w:r>
      <w:hyperlink r:id="rId33">
        <w:r w:rsidR="00B37F15">
          <w:rPr>
            <w:rStyle w:val="Hyperlink"/>
          </w:rPr>
          <w:t>10.1016/j.virol.2018.07.029</w:t>
        </w:r>
      </w:hyperlink>
      <w:r>
        <w:t>.</w:t>
      </w:r>
    </w:p>
    <w:p w14:paraId="30ABAAB6" w14:textId="77777777" w:rsidR="00B37F15" w:rsidRDefault="00000000">
      <w:pPr>
        <w:pStyle w:val="Bibliography"/>
      </w:pPr>
      <w:bookmarkStart w:id="39" w:name="ref-Zakrzewski_2018"/>
      <w:bookmarkEnd w:id="38"/>
      <w:r>
        <w:t xml:space="preserve">15. </w:t>
      </w:r>
      <w:r>
        <w:tab/>
      </w:r>
      <w:r>
        <w:rPr>
          <w:b/>
          <w:bCs/>
        </w:rPr>
        <w:t>Zakrzewski M</w:t>
      </w:r>
      <w:r>
        <w:t xml:space="preserve">, </w:t>
      </w:r>
      <w:r>
        <w:rPr>
          <w:b/>
          <w:bCs/>
        </w:rPr>
        <w:t>Rašić G</w:t>
      </w:r>
      <w:r>
        <w:t xml:space="preserve">, </w:t>
      </w:r>
      <w:r>
        <w:rPr>
          <w:b/>
          <w:bCs/>
        </w:rPr>
        <w:t>Darbro J</w:t>
      </w:r>
      <w:r>
        <w:t xml:space="preserve">, </w:t>
      </w:r>
      <w:r>
        <w:rPr>
          <w:b/>
          <w:bCs/>
        </w:rPr>
        <w:t>Krause L</w:t>
      </w:r>
      <w:r>
        <w:t xml:space="preserve">, </w:t>
      </w:r>
      <w:r>
        <w:rPr>
          <w:b/>
          <w:bCs/>
        </w:rPr>
        <w:t>Poo YS</w:t>
      </w:r>
      <w:r>
        <w:t xml:space="preserve">, </w:t>
      </w:r>
      <w:r>
        <w:rPr>
          <w:b/>
          <w:bCs/>
        </w:rPr>
        <w:t>Filipović I</w:t>
      </w:r>
      <w:r>
        <w:t xml:space="preserve">, </w:t>
      </w:r>
      <w:r>
        <w:rPr>
          <w:b/>
          <w:bCs/>
        </w:rPr>
        <w:t>Parry R</w:t>
      </w:r>
      <w:r>
        <w:t xml:space="preserve">, </w:t>
      </w:r>
      <w:r>
        <w:rPr>
          <w:b/>
          <w:bCs/>
        </w:rPr>
        <w:t>Asgari S</w:t>
      </w:r>
      <w:r>
        <w:t xml:space="preserve">, </w:t>
      </w:r>
      <w:r>
        <w:rPr>
          <w:b/>
          <w:bCs/>
        </w:rPr>
        <w:t>Devine G</w:t>
      </w:r>
      <w:r>
        <w:t xml:space="preserve">, </w:t>
      </w:r>
      <w:r>
        <w:rPr>
          <w:b/>
          <w:bCs/>
        </w:rPr>
        <w:t>Suhrbier A</w:t>
      </w:r>
      <w:r>
        <w:t xml:space="preserve">. 2018. Mapping the virome in wild-caught aedes aegypti from cairns and bangkok. Scientific Reports </w:t>
      </w:r>
      <w:r>
        <w:rPr>
          <w:b/>
          <w:bCs/>
        </w:rPr>
        <w:t>8</w:t>
      </w:r>
      <w:r>
        <w:t>. doi:</w:t>
      </w:r>
      <w:hyperlink r:id="rId34">
        <w:r w:rsidR="00B37F15">
          <w:rPr>
            <w:rStyle w:val="Hyperlink"/>
          </w:rPr>
          <w:t>10.1038/s41598-018-22945-y</w:t>
        </w:r>
      </w:hyperlink>
      <w:r>
        <w:t>.</w:t>
      </w:r>
    </w:p>
    <w:p w14:paraId="44C0E601" w14:textId="77777777" w:rsidR="00B37F15" w:rsidRDefault="00000000">
      <w:pPr>
        <w:pStyle w:val="Bibliography"/>
      </w:pPr>
      <w:bookmarkStart w:id="40" w:name="ref-Shi_2019"/>
      <w:bookmarkEnd w:id="39"/>
      <w:r>
        <w:t xml:space="preserve">16. </w:t>
      </w:r>
      <w:r>
        <w:tab/>
      </w:r>
      <w:r>
        <w:rPr>
          <w:b/>
          <w:bCs/>
        </w:rPr>
        <w:t>Shi C</w:t>
      </w:r>
      <w:r>
        <w:t xml:space="preserve">, </w:t>
      </w:r>
      <w:r>
        <w:rPr>
          <w:b/>
          <w:bCs/>
        </w:rPr>
        <w:t>Beller L</w:t>
      </w:r>
      <w:r>
        <w:t xml:space="preserve">, </w:t>
      </w:r>
      <w:r>
        <w:rPr>
          <w:b/>
          <w:bCs/>
        </w:rPr>
        <w:t>Deboutte W</w:t>
      </w:r>
      <w:r>
        <w:t xml:space="preserve">, </w:t>
      </w:r>
      <w:r>
        <w:rPr>
          <w:b/>
          <w:bCs/>
        </w:rPr>
        <w:t>Yinda KC</w:t>
      </w:r>
      <w:r>
        <w:t xml:space="preserve">, </w:t>
      </w:r>
      <w:r>
        <w:rPr>
          <w:b/>
          <w:bCs/>
        </w:rPr>
        <w:t>Delang L</w:t>
      </w:r>
      <w:r>
        <w:t xml:space="preserve">, </w:t>
      </w:r>
      <w:r>
        <w:rPr>
          <w:b/>
          <w:bCs/>
        </w:rPr>
        <w:t>Vega-Rúa A</w:t>
      </w:r>
      <w:r>
        <w:t xml:space="preserve">, </w:t>
      </w:r>
      <w:r>
        <w:rPr>
          <w:b/>
          <w:bCs/>
        </w:rPr>
        <w:t>Failloux A-B</w:t>
      </w:r>
      <w:r>
        <w:t xml:space="preserve">, </w:t>
      </w:r>
      <w:r>
        <w:rPr>
          <w:b/>
          <w:bCs/>
        </w:rPr>
        <w:t>Matthijnssens J</w:t>
      </w:r>
      <w:r>
        <w:t xml:space="preserve">. 2019. Stable distinct core eukaryotic viromes in different mosquito species from guadeloupe, using single mosquito viral metagenomics. Microbiome </w:t>
      </w:r>
      <w:r>
        <w:rPr>
          <w:b/>
          <w:bCs/>
        </w:rPr>
        <w:t>7</w:t>
      </w:r>
      <w:r>
        <w:t>. doi:</w:t>
      </w:r>
      <w:hyperlink r:id="rId35">
        <w:r w:rsidR="00B37F15">
          <w:rPr>
            <w:rStyle w:val="Hyperlink"/>
          </w:rPr>
          <w:t>10.1186/s40168-019-0734-2</w:t>
        </w:r>
      </w:hyperlink>
      <w:r>
        <w:t>.</w:t>
      </w:r>
    </w:p>
    <w:p w14:paraId="37447EB1" w14:textId="77777777" w:rsidR="00B37F15" w:rsidRDefault="00000000">
      <w:pPr>
        <w:pStyle w:val="Bibliography"/>
      </w:pPr>
      <w:bookmarkStart w:id="41" w:name="ref-Batson_2021"/>
      <w:bookmarkEnd w:id="40"/>
      <w:r>
        <w:t xml:space="preserve">17. </w:t>
      </w:r>
      <w:r>
        <w:tab/>
      </w:r>
      <w:r>
        <w:rPr>
          <w:b/>
          <w:bCs/>
        </w:rPr>
        <w:t>Batson J</w:t>
      </w:r>
      <w:r>
        <w:t xml:space="preserve">, </w:t>
      </w:r>
      <w:r>
        <w:rPr>
          <w:b/>
          <w:bCs/>
        </w:rPr>
        <w:t>Dudas G</w:t>
      </w:r>
      <w:r>
        <w:t xml:space="preserve">, </w:t>
      </w:r>
      <w:r>
        <w:rPr>
          <w:b/>
          <w:bCs/>
        </w:rPr>
        <w:t>Haas-Stapleton E</w:t>
      </w:r>
      <w:r>
        <w:t xml:space="preserve">, </w:t>
      </w:r>
      <w:r>
        <w:rPr>
          <w:b/>
          <w:bCs/>
        </w:rPr>
        <w:t>Kistler AL</w:t>
      </w:r>
      <w:r>
        <w:t xml:space="preserve">, </w:t>
      </w:r>
      <w:r>
        <w:rPr>
          <w:b/>
          <w:bCs/>
        </w:rPr>
        <w:t>Li LM</w:t>
      </w:r>
      <w:r>
        <w:t xml:space="preserve">, </w:t>
      </w:r>
      <w:r>
        <w:rPr>
          <w:b/>
          <w:bCs/>
        </w:rPr>
        <w:t>Logan P</w:t>
      </w:r>
      <w:r>
        <w:t xml:space="preserve">, </w:t>
      </w:r>
      <w:r>
        <w:rPr>
          <w:b/>
          <w:bCs/>
        </w:rPr>
        <w:t>Ratnasiri K</w:t>
      </w:r>
      <w:r>
        <w:t xml:space="preserve">, </w:t>
      </w:r>
      <w:r>
        <w:rPr>
          <w:b/>
          <w:bCs/>
        </w:rPr>
        <w:t>Retallack H</w:t>
      </w:r>
      <w:r>
        <w:t xml:space="preserve">. 2021. Single mosquito metatranscriptomics identifies vectors, emerging pathogens and reservoirs in one assay. eLife </w:t>
      </w:r>
      <w:r>
        <w:rPr>
          <w:b/>
          <w:bCs/>
        </w:rPr>
        <w:t>10</w:t>
      </w:r>
      <w:r>
        <w:t>. doi:</w:t>
      </w:r>
      <w:hyperlink r:id="rId36">
        <w:r w:rsidR="00B37F15">
          <w:rPr>
            <w:rStyle w:val="Hyperlink"/>
          </w:rPr>
          <w:t>10.7554/elife.68353</w:t>
        </w:r>
      </w:hyperlink>
      <w:r>
        <w:t>.</w:t>
      </w:r>
    </w:p>
    <w:p w14:paraId="59BD2D55" w14:textId="77777777" w:rsidR="00B37F15" w:rsidRDefault="00000000">
      <w:pPr>
        <w:pStyle w:val="Bibliography"/>
      </w:pPr>
      <w:bookmarkStart w:id="42" w:name="ref-de_Almeida_2021"/>
      <w:bookmarkEnd w:id="41"/>
      <w:r>
        <w:t xml:space="preserve">18. </w:t>
      </w:r>
      <w:r>
        <w:tab/>
      </w:r>
      <w:r>
        <w:rPr>
          <w:b/>
          <w:bCs/>
        </w:rPr>
        <w:t>Almeida JP de</w:t>
      </w:r>
      <w:r>
        <w:t xml:space="preserve">, </w:t>
      </w:r>
      <w:r>
        <w:rPr>
          <w:b/>
          <w:bCs/>
        </w:rPr>
        <w:t>Aguiar ER</w:t>
      </w:r>
      <w:r>
        <w:t xml:space="preserve">, </w:t>
      </w:r>
      <w:r>
        <w:rPr>
          <w:b/>
          <w:bCs/>
        </w:rPr>
        <w:t>Armache JN</w:t>
      </w:r>
      <w:r>
        <w:t xml:space="preserve">, </w:t>
      </w:r>
      <w:r>
        <w:rPr>
          <w:b/>
          <w:bCs/>
        </w:rPr>
        <w:t>Olmo RP</w:t>
      </w:r>
      <w:r>
        <w:t xml:space="preserve">, </w:t>
      </w:r>
      <w:r>
        <w:rPr>
          <w:b/>
          <w:bCs/>
        </w:rPr>
        <w:t>Marques JT</w:t>
      </w:r>
      <w:r>
        <w:t xml:space="preserve">. 2021. The virome of vector mosquitoes. Current Opinion in Virology </w:t>
      </w:r>
      <w:r>
        <w:rPr>
          <w:b/>
          <w:bCs/>
        </w:rPr>
        <w:t>49</w:t>
      </w:r>
      <w:r>
        <w:t>:7–12. doi:</w:t>
      </w:r>
      <w:hyperlink r:id="rId37">
        <w:r w:rsidR="00B37F15">
          <w:rPr>
            <w:rStyle w:val="Hyperlink"/>
          </w:rPr>
          <w:t>10.1016/j.coviro.2021.04.002</w:t>
        </w:r>
      </w:hyperlink>
      <w:r>
        <w:t>.</w:t>
      </w:r>
    </w:p>
    <w:p w14:paraId="4980F856" w14:textId="77777777" w:rsidR="00B37F15" w:rsidRDefault="00000000">
      <w:pPr>
        <w:pStyle w:val="Bibliography"/>
      </w:pPr>
      <w:bookmarkStart w:id="43" w:name="ref-Koh_2024"/>
      <w:bookmarkEnd w:id="42"/>
      <w:r>
        <w:t xml:space="preserve">19. </w:t>
      </w:r>
      <w:r>
        <w:tab/>
      </w:r>
      <w:r>
        <w:rPr>
          <w:b/>
          <w:bCs/>
        </w:rPr>
        <w:t>Koh C</w:t>
      </w:r>
      <w:r>
        <w:t xml:space="preserve">, </w:t>
      </w:r>
      <w:r>
        <w:rPr>
          <w:b/>
          <w:bCs/>
        </w:rPr>
        <w:t>Saleh M-C</w:t>
      </w:r>
      <w:r>
        <w:t xml:space="preserve">. 2024. Mosquito core viromes: Do they exist? Trends in Parasitology </w:t>
      </w:r>
      <w:r>
        <w:rPr>
          <w:b/>
          <w:bCs/>
        </w:rPr>
        <w:t>40</w:t>
      </w:r>
      <w:r>
        <w:t>:203–204. doi:</w:t>
      </w:r>
      <w:hyperlink r:id="rId38">
        <w:r w:rsidR="00B37F15">
          <w:rPr>
            <w:rStyle w:val="Hyperlink"/>
          </w:rPr>
          <w:t>10.1016/j.pt.2024.01.003</w:t>
        </w:r>
      </w:hyperlink>
      <w:r>
        <w:t>.</w:t>
      </w:r>
    </w:p>
    <w:p w14:paraId="73C3C8A4" w14:textId="77777777" w:rsidR="00B37F15" w:rsidRDefault="00000000">
      <w:pPr>
        <w:pStyle w:val="Bibliography"/>
      </w:pPr>
      <w:bookmarkStart w:id="44" w:name="ref-Carlson_2006"/>
      <w:bookmarkEnd w:id="43"/>
      <w:r>
        <w:lastRenderedPageBreak/>
        <w:t xml:space="preserve">20. </w:t>
      </w:r>
      <w:r>
        <w:tab/>
      </w:r>
      <w:r>
        <w:rPr>
          <w:b/>
          <w:bCs/>
        </w:rPr>
        <w:t>Carlson J</w:t>
      </w:r>
      <w:r>
        <w:t xml:space="preserve">, </w:t>
      </w:r>
      <w:r>
        <w:rPr>
          <w:b/>
          <w:bCs/>
        </w:rPr>
        <w:t>Suchman E</w:t>
      </w:r>
      <w:r>
        <w:t xml:space="preserve">, </w:t>
      </w:r>
      <w:r>
        <w:rPr>
          <w:b/>
          <w:bCs/>
        </w:rPr>
        <w:t>Buchatsky L</w:t>
      </w:r>
      <w:r>
        <w:t xml:space="preserve">. 2006. </w:t>
      </w:r>
      <w:hyperlink r:id="rId39">
        <w:r w:rsidR="00B37F15">
          <w:rPr>
            <w:rStyle w:val="Hyperlink"/>
          </w:rPr>
          <w:t>Densoviruses for control and genetic manipulation of mosquitoes</w:t>
        </w:r>
      </w:hyperlink>
      <w:r>
        <w:t xml:space="preserve">, p. 361–392. </w:t>
      </w:r>
      <w:r>
        <w:rPr>
          <w:i/>
          <w:iCs/>
        </w:rPr>
        <w:t>In</w:t>
      </w:r>
      <w:r>
        <w:t xml:space="preserve"> Insect viruses: Biotechnological applications. Elsevier.</w:t>
      </w:r>
    </w:p>
    <w:p w14:paraId="38F52DC5" w14:textId="77777777" w:rsidR="00B37F15" w:rsidRDefault="00000000">
      <w:pPr>
        <w:pStyle w:val="Bibliography"/>
      </w:pPr>
      <w:bookmarkStart w:id="45" w:name="ref-Ren_2008"/>
      <w:bookmarkEnd w:id="44"/>
      <w:r>
        <w:t xml:space="preserve">21. </w:t>
      </w:r>
      <w:r>
        <w:tab/>
      </w:r>
      <w:r>
        <w:rPr>
          <w:b/>
          <w:bCs/>
        </w:rPr>
        <w:t>Ren X</w:t>
      </w:r>
      <w:r>
        <w:t xml:space="preserve">, </w:t>
      </w:r>
      <w:r>
        <w:rPr>
          <w:b/>
          <w:bCs/>
        </w:rPr>
        <w:t>Hoiczyk E</w:t>
      </w:r>
      <w:r>
        <w:t xml:space="preserve">, </w:t>
      </w:r>
      <w:r>
        <w:rPr>
          <w:b/>
          <w:bCs/>
        </w:rPr>
        <w:t>Rasgon JL</w:t>
      </w:r>
      <w:r>
        <w:t xml:space="preserve">. 2008. Viral paratransgenesis in the malaria vector anopheles gambiae. PLoS Pathogens </w:t>
      </w:r>
      <w:r>
        <w:rPr>
          <w:b/>
          <w:bCs/>
        </w:rPr>
        <w:t>4</w:t>
      </w:r>
      <w:r>
        <w:t>:e1000135. doi:</w:t>
      </w:r>
      <w:hyperlink r:id="rId40">
        <w:r w:rsidR="00B37F15">
          <w:rPr>
            <w:rStyle w:val="Hyperlink"/>
          </w:rPr>
          <w:t>10.1371/journal.ppat.1000135</w:t>
        </w:r>
      </w:hyperlink>
      <w:r>
        <w:t>.</w:t>
      </w:r>
    </w:p>
    <w:p w14:paraId="30E9B183" w14:textId="77777777" w:rsidR="00B37F15" w:rsidRDefault="00000000">
      <w:pPr>
        <w:pStyle w:val="Bibliography"/>
      </w:pPr>
      <w:bookmarkStart w:id="46" w:name="ref-Johnson_2018"/>
      <w:bookmarkEnd w:id="45"/>
      <w:r>
        <w:t xml:space="preserve">22. </w:t>
      </w:r>
      <w:r>
        <w:tab/>
      </w:r>
      <w:r>
        <w:rPr>
          <w:b/>
          <w:bCs/>
        </w:rPr>
        <w:t>Johnson RM</w:t>
      </w:r>
      <w:r>
        <w:t xml:space="preserve">, </w:t>
      </w:r>
      <w:r>
        <w:rPr>
          <w:b/>
          <w:bCs/>
        </w:rPr>
        <w:t>Rasgon JL</w:t>
      </w:r>
      <w:r>
        <w:t xml:space="preserve">. 2018. Densonucleosis viruses (’densoviruses’) for mosquito and pathogen control. Current Opinion in Insect Science </w:t>
      </w:r>
      <w:r>
        <w:rPr>
          <w:b/>
          <w:bCs/>
        </w:rPr>
        <w:t>28</w:t>
      </w:r>
      <w:r>
        <w:t>:90–97. doi:</w:t>
      </w:r>
      <w:hyperlink r:id="rId41">
        <w:r w:rsidR="00B37F15">
          <w:rPr>
            <w:rStyle w:val="Hyperlink"/>
          </w:rPr>
          <w:t>10.1016/j.cois.2018.05.009</w:t>
        </w:r>
      </w:hyperlink>
      <w:r>
        <w:t>.</w:t>
      </w:r>
    </w:p>
    <w:p w14:paraId="104BCB5B" w14:textId="77777777" w:rsidR="00B37F15" w:rsidRDefault="00000000">
      <w:pPr>
        <w:pStyle w:val="Bibliography"/>
      </w:pPr>
      <w:bookmarkStart w:id="47" w:name="ref-Bolling_2012"/>
      <w:bookmarkEnd w:id="46"/>
      <w:r>
        <w:t xml:space="preserve">23. </w:t>
      </w:r>
      <w:r>
        <w:tab/>
      </w:r>
      <w:r>
        <w:rPr>
          <w:b/>
          <w:bCs/>
        </w:rPr>
        <w:t>Bolling BG</w:t>
      </w:r>
      <w:r>
        <w:t xml:space="preserve">, </w:t>
      </w:r>
      <w:r>
        <w:rPr>
          <w:b/>
          <w:bCs/>
        </w:rPr>
        <w:t>Olea-Popelka FJ</w:t>
      </w:r>
      <w:r>
        <w:t xml:space="preserve">, </w:t>
      </w:r>
      <w:r>
        <w:rPr>
          <w:b/>
          <w:bCs/>
        </w:rPr>
        <w:t>Eisen L</w:t>
      </w:r>
      <w:r>
        <w:t xml:space="preserve">, </w:t>
      </w:r>
      <w:r>
        <w:rPr>
          <w:b/>
          <w:bCs/>
        </w:rPr>
        <w:t>Moore CG</w:t>
      </w:r>
      <w:r>
        <w:t xml:space="preserve">, </w:t>
      </w:r>
      <w:r>
        <w:rPr>
          <w:b/>
          <w:bCs/>
        </w:rPr>
        <w:t>Blair CD</w:t>
      </w:r>
      <w:r>
        <w:t xml:space="preserve">. 2012. Transmission dynamics of an insect-specific flavivirus in a naturally infected culex pipiens laboratory colony and effects of co-infection on vector competence for west nile virus. Virology </w:t>
      </w:r>
      <w:r>
        <w:rPr>
          <w:b/>
          <w:bCs/>
        </w:rPr>
        <w:t>427</w:t>
      </w:r>
      <w:r>
        <w:t>:90–97. doi:</w:t>
      </w:r>
      <w:hyperlink r:id="rId42">
        <w:r w:rsidR="00B37F15">
          <w:rPr>
            <w:rStyle w:val="Hyperlink"/>
          </w:rPr>
          <w:t>10.1016/j.virol.2012.02.016</w:t>
        </w:r>
      </w:hyperlink>
      <w:r>
        <w:t>.</w:t>
      </w:r>
    </w:p>
    <w:p w14:paraId="46C51097" w14:textId="77777777" w:rsidR="00B37F15" w:rsidRDefault="00000000">
      <w:pPr>
        <w:pStyle w:val="Bibliography"/>
      </w:pPr>
      <w:bookmarkStart w:id="48" w:name="ref-Kenney_2014"/>
      <w:bookmarkEnd w:id="47"/>
      <w:r>
        <w:t xml:space="preserve">24. </w:t>
      </w:r>
      <w:r>
        <w:tab/>
      </w:r>
      <w:r>
        <w:rPr>
          <w:b/>
          <w:bCs/>
        </w:rPr>
        <w:t>Kenney JL</w:t>
      </w:r>
      <w:r>
        <w:t xml:space="preserve">, </w:t>
      </w:r>
      <w:r>
        <w:rPr>
          <w:b/>
          <w:bCs/>
        </w:rPr>
        <w:t>Solberg OD</w:t>
      </w:r>
      <w:r>
        <w:t xml:space="preserve">, </w:t>
      </w:r>
      <w:r>
        <w:rPr>
          <w:b/>
          <w:bCs/>
        </w:rPr>
        <w:t>Langevin SA</w:t>
      </w:r>
      <w:r>
        <w:t xml:space="preserve">, </w:t>
      </w:r>
      <w:r>
        <w:rPr>
          <w:b/>
          <w:bCs/>
        </w:rPr>
        <w:t>Brault AC</w:t>
      </w:r>
      <w:r>
        <w:t xml:space="preserve">. 2014. Characterization of a novel insect-specific flavivirus from brazil: Potential for inhibition of infection of arthropod cells with medically important flaviviruses. Journal of General Virology </w:t>
      </w:r>
      <w:r>
        <w:rPr>
          <w:b/>
          <w:bCs/>
        </w:rPr>
        <w:t>95</w:t>
      </w:r>
      <w:r>
        <w:t>:2796–2808. doi:</w:t>
      </w:r>
      <w:hyperlink r:id="rId43">
        <w:r w:rsidR="00B37F15">
          <w:rPr>
            <w:rStyle w:val="Hyperlink"/>
          </w:rPr>
          <w:t>10.1099/vir.0.068031-0</w:t>
        </w:r>
      </w:hyperlink>
      <w:r>
        <w:t>.</w:t>
      </w:r>
    </w:p>
    <w:p w14:paraId="111A42FB" w14:textId="77777777" w:rsidR="00B37F15" w:rsidRDefault="00000000">
      <w:pPr>
        <w:pStyle w:val="Bibliography"/>
      </w:pPr>
      <w:bookmarkStart w:id="49" w:name="ref-Goenaga_2015"/>
      <w:bookmarkEnd w:id="48"/>
      <w:r>
        <w:t xml:space="preserve">25. </w:t>
      </w:r>
      <w:r>
        <w:tab/>
      </w:r>
      <w:r>
        <w:rPr>
          <w:b/>
          <w:bCs/>
        </w:rPr>
        <w:t>Goenaga S</w:t>
      </w:r>
      <w:r>
        <w:t xml:space="preserve">, </w:t>
      </w:r>
      <w:r>
        <w:rPr>
          <w:b/>
          <w:bCs/>
        </w:rPr>
        <w:t>Kenney J</w:t>
      </w:r>
      <w:r>
        <w:t xml:space="preserve">, </w:t>
      </w:r>
      <w:r>
        <w:rPr>
          <w:b/>
          <w:bCs/>
        </w:rPr>
        <w:t>Duggal N</w:t>
      </w:r>
      <w:r>
        <w:t xml:space="preserve">, </w:t>
      </w:r>
      <w:r>
        <w:rPr>
          <w:b/>
          <w:bCs/>
        </w:rPr>
        <w:t>Delorey M</w:t>
      </w:r>
      <w:r>
        <w:t xml:space="preserve">, </w:t>
      </w:r>
      <w:r>
        <w:rPr>
          <w:b/>
          <w:bCs/>
        </w:rPr>
        <w:t>Ebel G</w:t>
      </w:r>
      <w:r>
        <w:t xml:space="preserve">, </w:t>
      </w:r>
      <w:r>
        <w:rPr>
          <w:b/>
          <w:bCs/>
        </w:rPr>
        <w:t>Zhang B</w:t>
      </w:r>
      <w:r>
        <w:t xml:space="preserve">, </w:t>
      </w:r>
      <w:r>
        <w:rPr>
          <w:b/>
          <w:bCs/>
        </w:rPr>
        <w:t>Levis S</w:t>
      </w:r>
      <w:r>
        <w:t xml:space="preserve">, </w:t>
      </w:r>
      <w:r>
        <w:rPr>
          <w:b/>
          <w:bCs/>
        </w:rPr>
        <w:t>Enria D</w:t>
      </w:r>
      <w:r>
        <w:t xml:space="preserve">, </w:t>
      </w:r>
      <w:r>
        <w:rPr>
          <w:b/>
          <w:bCs/>
        </w:rPr>
        <w:t>Brault A</w:t>
      </w:r>
      <w:r>
        <w:t xml:space="preserve">. 2015. Potential for co-infection of a mosquito-specific flavivirus, nhumirim virus, to block west nile virus transmission in mosquitoes. Viruses </w:t>
      </w:r>
      <w:r>
        <w:rPr>
          <w:b/>
          <w:bCs/>
        </w:rPr>
        <w:t>7</w:t>
      </w:r>
      <w:r>
        <w:t>:5801–5812. doi:</w:t>
      </w:r>
      <w:hyperlink r:id="rId44">
        <w:r w:rsidR="00B37F15">
          <w:rPr>
            <w:rStyle w:val="Hyperlink"/>
          </w:rPr>
          <w:t>10.3390/v7112911</w:t>
        </w:r>
      </w:hyperlink>
      <w:r>
        <w:t>.</w:t>
      </w:r>
    </w:p>
    <w:p w14:paraId="37884DA8" w14:textId="77777777" w:rsidR="00B37F15" w:rsidRDefault="00000000">
      <w:pPr>
        <w:pStyle w:val="Bibliography"/>
      </w:pPr>
      <w:bookmarkStart w:id="50" w:name="ref-Romo_2018"/>
      <w:bookmarkEnd w:id="49"/>
      <w:r>
        <w:t xml:space="preserve">26. </w:t>
      </w:r>
      <w:r>
        <w:tab/>
      </w:r>
      <w:r>
        <w:rPr>
          <w:b/>
          <w:bCs/>
        </w:rPr>
        <w:t>Romo H</w:t>
      </w:r>
      <w:r>
        <w:t xml:space="preserve">, </w:t>
      </w:r>
      <w:r>
        <w:rPr>
          <w:b/>
          <w:bCs/>
        </w:rPr>
        <w:t>Kenney JL</w:t>
      </w:r>
      <w:r>
        <w:t xml:space="preserve">, </w:t>
      </w:r>
      <w:r>
        <w:rPr>
          <w:b/>
          <w:bCs/>
        </w:rPr>
        <w:t>Blitvich BJ</w:t>
      </w:r>
      <w:r>
        <w:t xml:space="preserve">, </w:t>
      </w:r>
      <w:r>
        <w:rPr>
          <w:b/>
          <w:bCs/>
        </w:rPr>
        <w:t>Brault AC</w:t>
      </w:r>
      <w:r>
        <w:t xml:space="preserve">. 2018. Restriction of zika virus infection and transmission in aedes aegypti mediated by an insect-specific flavivirus. Emerging Microbes &amp;amp; Infections </w:t>
      </w:r>
      <w:r>
        <w:rPr>
          <w:b/>
          <w:bCs/>
        </w:rPr>
        <w:t>7</w:t>
      </w:r>
      <w:r>
        <w:t>:1–13. doi:</w:t>
      </w:r>
      <w:hyperlink r:id="rId45">
        <w:r w:rsidR="00B37F15">
          <w:rPr>
            <w:rStyle w:val="Hyperlink"/>
          </w:rPr>
          <w:t>10.1038/s41426-018-0180-4</w:t>
        </w:r>
      </w:hyperlink>
      <w:r>
        <w:t>.</w:t>
      </w:r>
    </w:p>
    <w:p w14:paraId="031801E6" w14:textId="77777777" w:rsidR="00B37F15" w:rsidRDefault="00000000">
      <w:pPr>
        <w:pStyle w:val="Bibliography"/>
      </w:pPr>
      <w:bookmarkStart w:id="51" w:name="ref-Schultz_2018"/>
      <w:bookmarkEnd w:id="50"/>
      <w:r>
        <w:t xml:space="preserve">27. </w:t>
      </w:r>
      <w:r>
        <w:tab/>
      </w:r>
      <w:r>
        <w:rPr>
          <w:b/>
          <w:bCs/>
        </w:rPr>
        <w:t>Schultz MJ</w:t>
      </w:r>
      <w:r>
        <w:t xml:space="preserve">, </w:t>
      </w:r>
      <w:r>
        <w:rPr>
          <w:b/>
          <w:bCs/>
        </w:rPr>
        <w:t>Frydman HM</w:t>
      </w:r>
      <w:r>
        <w:t xml:space="preserve">, </w:t>
      </w:r>
      <w:r>
        <w:rPr>
          <w:b/>
          <w:bCs/>
        </w:rPr>
        <w:t>Connor JH</w:t>
      </w:r>
      <w:r>
        <w:t xml:space="preserve">. 2018. Dual insect specific virus infection limits arbovirus replication in aedes mosquito cells. Virology </w:t>
      </w:r>
      <w:r>
        <w:rPr>
          <w:b/>
          <w:bCs/>
        </w:rPr>
        <w:t>518</w:t>
      </w:r>
      <w:r>
        <w:t>:406–413. doi:</w:t>
      </w:r>
      <w:hyperlink r:id="rId46">
        <w:r w:rsidR="00B37F15">
          <w:rPr>
            <w:rStyle w:val="Hyperlink"/>
          </w:rPr>
          <w:t>10.1016/j.virol.2018.03.022</w:t>
        </w:r>
      </w:hyperlink>
      <w:r>
        <w:t>.</w:t>
      </w:r>
    </w:p>
    <w:p w14:paraId="4B0D7C31" w14:textId="77777777" w:rsidR="00B37F15" w:rsidRDefault="00000000">
      <w:pPr>
        <w:pStyle w:val="Bibliography"/>
      </w:pPr>
      <w:bookmarkStart w:id="52" w:name="ref-Baidaliuk_2019"/>
      <w:bookmarkEnd w:id="51"/>
      <w:r>
        <w:t xml:space="preserve">28. </w:t>
      </w:r>
      <w:r>
        <w:tab/>
      </w:r>
      <w:r>
        <w:rPr>
          <w:b/>
          <w:bCs/>
        </w:rPr>
        <w:t>Baidaliuk A</w:t>
      </w:r>
      <w:r>
        <w:t xml:space="preserve">, </w:t>
      </w:r>
      <w:r>
        <w:rPr>
          <w:b/>
          <w:bCs/>
        </w:rPr>
        <w:t>Miot EF</w:t>
      </w:r>
      <w:r>
        <w:t xml:space="preserve">, </w:t>
      </w:r>
      <w:r>
        <w:rPr>
          <w:b/>
          <w:bCs/>
        </w:rPr>
        <w:t>Lequime S</w:t>
      </w:r>
      <w:r>
        <w:t xml:space="preserve">, </w:t>
      </w:r>
      <w:r>
        <w:rPr>
          <w:b/>
          <w:bCs/>
        </w:rPr>
        <w:t>Moltini-Conclois I</w:t>
      </w:r>
      <w:r>
        <w:t xml:space="preserve">, </w:t>
      </w:r>
      <w:r>
        <w:rPr>
          <w:b/>
          <w:bCs/>
        </w:rPr>
        <w:t>Delaigue F</w:t>
      </w:r>
      <w:r>
        <w:t xml:space="preserve">, </w:t>
      </w:r>
      <w:r>
        <w:rPr>
          <w:b/>
          <w:bCs/>
        </w:rPr>
        <w:t>Dabo S</w:t>
      </w:r>
      <w:r>
        <w:t xml:space="preserve">, </w:t>
      </w:r>
      <w:r>
        <w:rPr>
          <w:b/>
          <w:bCs/>
        </w:rPr>
        <w:t>Dickson LB</w:t>
      </w:r>
      <w:r>
        <w:t xml:space="preserve">, </w:t>
      </w:r>
      <w:r>
        <w:rPr>
          <w:b/>
          <w:bCs/>
        </w:rPr>
        <w:t>Aubry F</w:t>
      </w:r>
      <w:r>
        <w:t xml:space="preserve">, </w:t>
      </w:r>
      <w:r>
        <w:rPr>
          <w:b/>
          <w:bCs/>
        </w:rPr>
        <w:t>Merkling SH</w:t>
      </w:r>
      <w:r>
        <w:t xml:space="preserve">, </w:t>
      </w:r>
      <w:r>
        <w:rPr>
          <w:b/>
          <w:bCs/>
        </w:rPr>
        <w:t>Cao-Lormeau V-M</w:t>
      </w:r>
      <w:r>
        <w:t xml:space="preserve">, </w:t>
      </w:r>
      <w:r>
        <w:rPr>
          <w:b/>
          <w:bCs/>
        </w:rPr>
        <w:t>Lambrechts L</w:t>
      </w:r>
      <w:r>
        <w:t xml:space="preserve">. 2019. Cell-fusing agent virus reduces arbovirus dissemination in aedes aegypti mosquitoes in vivo. Journal of Virology </w:t>
      </w:r>
      <w:r>
        <w:rPr>
          <w:b/>
          <w:bCs/>
        </w:rPr>
        <w:t>93</w:t>
      </w:r>
      <w:r>
        <w:t>. doi:</w:t>
      </w:r>
      <w:hyperlink r:id="rId47">
        <w:r w:rsidR="00B37F15">
          <w:rPr>
            <w:rStyle w:val="Hyperlink"/>
          </w:rPr>
          <w:t>10.1128/jvi.00705-19</w:t>
        </w:r>
      </w:hyperlink>
      <w:r>
        <w:t>.</w:t>
      </w:r>
    </w:p>
    <w:p w14:paraId="5F624103" w14:textId="77777777" w:rsidR="00B37F15" w:rsidRDefault="00000000">
      <w:pPr>
        <w:pStyle w:val="Bibliography"/>
      </w:pPr>
      <w:bookmarkStart w:id="53" w:name="ref-McLean_2021"/>
      <w:bookmarkEnd w:id="52"/>
      <w:r>
        <w:lastRenderedPageBreak/>
        <w:t xml:space="preserve">29. </w:t>
      </w:r>
      <w:r>
        <w:tab/>
      </w:r>
      <w:r>
        <w:rPr>
          <w:b/>
          <w:bCs/>
        </w:rPr>
        <w:t>McLean BJ</w:t>
      </w:r>
      <w:r>
        <w:t xml:space="preserve">, </w:t>
      </w:r>
      <w:r>
        <w:rPr>
          <w:b/>
          <w:bCs/>
        </w:rPr>
        <w:t>Hall-Mendelin S</w:t>
      </w:r>
      <w:r>
        <w:t xml:space="preserve">, </w:t>
      </w:r>
      <w:r>
        <w:rPr>
          <w:b/>
          <w:bCs/>
        </w:rPr>
        <w:t>Webb CE</w:t>
      </w:r>
      <w:r>
        <w:t xml:space="preserve">, </w:t>
      </w:r>
      <w:r>
        <w:rPr>
          <w:b/>
          <w:bCs/>
        </w:rPr>
        <w:t>Bielefeldt-Ohmann H</w:t>
      </w:r>
      <w:r>
        <w:t xml:space="preserve">, </w:t>
      </w:r>
      <w:r>
        <w:rPr>
          <w:b/>
          <w:bCs/>
        </w:rPr>
        <w:t>Ritchie SA</w:t>
      </w:r>
      <w:r>
        <w:t xml:space="preserve">, </w:t>
      </w:r>
      <w:r>
        <w:rPr>
          <w:b/>
          <w:bCs/>
        </w:rPr>
        <w:t>Hobson-Peters J</w:t>
      </w:r>
      <w:r>
        <w:t xml:space="preserve">, </w:t>
      </w:r>
      <w:r>
        <w:rPr>
          <w:b/>
          <w:bCs/>
        </w:rPr>
        <w:t>Hall RA</w:t>
      </w:r>
      <w:r>
        <w:t xml:space="preserve">, </w:t>
      </w:r>
      <w:r>
        <w:rPr>
          <w:b/>
          <w:bCs/>
        </w:rPr>
        <w:t>Hurk AF van den</w:t>
      </w:r>
      <w:r>
        <w:t xml:space="preserve">. 2021. The insect-specific parramatta river virus is vertically transmitted by aedes vigilax mosquitoes and suppresses replication of pathogenic flaviviruses in vitro. Vector-Borne and Zoonotic Diseases </w:t>
      </w:r>
      <w:r>
        <w:rPr>
          <w:b/>
          <w:bCs/>
        </w:rPr>
        <w:t>21</w:t>
      </w:r>
      <w:r>
        <w:t>:208–215. doi:</w:t>
      </w:r>
      <w:hyperlink r:id="rId48">
        <w:r w:rsidR="00B37F15">
          <w:rPr>
            <w:rStyle w:val="Hyperlink"/>
          </w:rPr>
          <w:t>10.1089/vbz.2020.2692</w:t>
        </w:r>
      </w:hyperlink>
      <w:r>
        <w:t>.</w:t>
      </w:r>
    </w:p>
    <w:p w14:paraId="5764FF6F" w14:textId="77777777" w:rsidR="00B37F15" w:rsidRDefault="00000000">
      <w:pPr>
        <w:pStyle w:val="Bibliography"/>
      </w:pPr>
      <w:bookmarkStart w:id="54" w:name="ref-Shi_2022"/>
      <w:bookmarkEnd w:id="53"/>
      <w:r>
        <w:t xml:space="preserve">30. </w:t>
      </w:r>
      <w:r>
        <w:tab/>
      </w:r>
      <w:r>
        <w:rPr>
          <w:b/>
          <w:bCs/>
        </w:rPr>
        <w:t>Shi C</w:t>
      </w:r>
      <w:r>
        <w:t xml:space="preserve">, </w:t>
      </w:r>
      <w:r>
        <w:rPr>
          <w:b/>
          <w:bCs/>
        </w:rPr>
        <w:t>Beller L</w:t>
      </w:r>
      <w:r>
        <w:t xml:space="preserve">, </w:t>
      </w:r>
      <w:r>
        <w:rPr>
          <w:b/>
          <w:bCs/>
        </w:rPr>
        <w:t>Wang L</w:t>
      </w:r>
      <w:r>
        <w:t xml:space="preserve">, </w:t>
      </w:r>
      <w:r>
        <w:rPr>
          <w:b/>
          <w:bCs/>
        </w:rPr>
        <w:t>Rosales Rosas A</w:t>
      </w:r>
      <w:r>
        <w:t xml:space="preserve">, </w:t>
      </w:r>
      <w:r>
        <w:rPr>
          <w:b/>
          <w:bCs/>
        </w:rPr>
        <w:t>De Coninck L</w:t>
      </w:r>
      <w:r>
        <w:t xml:space="preserve">, </w:t>
      </w:r>
      <w:r>
        <w:rPr>
          <w:b/>
          <w:bCs/>
        </w:rPr>
        <w:t>Héry L</w:t>
      </w:r>
      <w:r>
        <w:t xml:space="preserve">, </w:t>
      </w:r>
      <w:r>
        <w:rPr>
          <w:b/>
          <w:bCs/>
        </w:rPr>
        <w:t>Mousson L</w:t>
      </w:r>
      <w:r>
        <w:t xml:space="preserve">, </w:t>
      </w:r>
      <w:r>
        <w:rPr>
          <w:b/>
          <w:bCs/>
        </w:rPr>
        <w:t>Pagès N</w:t>
      </w:r>
      <w:r>
        <w:t xml:space="preserve">, </w:t>
      </w:r>
      <w:r>
        <w:rPr>
          <w:b/>
          <w:bCs/>
        </w:rPr>
        <w:t>Raes J</w:t>
      </w:r>
      <w:r>
        <w:t xml:space="preserve">, </w:t>
      </w:r>
      <w:r>
        <w:rPr>
          <w:b/>
          <w:bCs/>
        </w:rPr>
        <w:t>Delang L</w:t>
      </w:r>
      <w:r>
        <w:t xml:space="preserve">, </w:t>
      </w:r>
      <w:r>
        <w:rPr>
          <w:b/>
          <w:bCs/>
        </w:rPr>
        <w:t>Vega-Rúa A</w:t>
      </w:r>
      <w:r>
        <w:t xml:space="preserve">, </w:t>
      </w:r>
      <w:r>
        <w:rPr>
          <w:b/>
          <w:bCs/>
        </w:rPr>
        <w:t>Failloux A</w:t>
      </w:r>
      <w:r>
        <w:t xml:space="preserve">, </w:t>
      </w:r>
      <w:r>
        <w:rPr>
          <w:b/>
          <w:bCs/>
        </w:rPr>
        <w:t>Matthijnssens J</w:t>
      </w:r>
      <w:r>
        <w:t xml:space="preserve">. 2022. Bidirectional interactions between arboviruses and the bacterial and viral microbiota in aedes aegypti and culex quinquefasciatus. mBio </w:t>
      </w:r>
      <w:r>
        <w:rPr>
          <w:b/>
          <w:bCs/>
        </w:rPr>
        <w:t>13</w:t>
      </w:r>
      <w:r>
        <w:t>. doi:</w:t>
      </w:r>
      <w:hyperlink r:id="rId49">
        <w:r w:rsidR="00B37F15">
          <w:rPr>
            <w:rStyle w:val="Hyperlink"/>
          </w:rPr>
          <w:t>10.1128/mbio.01021-22</w:t>
        </w:r>
      </w:hyperlink>
      <w:r>
        <w:t>.</w:t>
      </w:r>
    </w:p>
    <w:p w14:paraId="58A81C04" w14:textId="77777777" w:rsidR="00B37F15" w:rsidRDefault="00000000">
      <w:pPr>
        <w:pStyle w:val="Bibliography"/>
      </w:pPr>
      <w:bookmarkStart w:id="55" w:name="ref-Olmo_2023"/>
      <w:bookmarkEnd w:id="54"/>
      <w:r>
        <w:t xml:space="preserve">31. </w:t>
      </w:r>
      <w:r>
        <w:tab/>
      </w:r>
      <w:r>
        <w:rPr>
          <w:b/>
          <w:bCs/>
        </w:rPr>
        <w:t>Olmo RP</w:t>
      </w:r>
      <w:r>
        <w:t xml:space="preserve">, </w:t>
      </w:r>
      <w:r>
        <w:rPr>
          <w:b/>
          <w:bCs/>
        </w:rPr>
        <w:t>Todjro YMH</w:t>
      </w:r>
      <w:r>
        <w:t xml:space="preserve">, </w:t>
      </w:r>
      <w:r>
        <w:rPr>
          <w:b/>
          <w:bCs/>
        </w:rPr>
        <w:t>Aguiar ERGR</w:t>
      </w:r>
      <w:r>
        <w:t xml:space="preserve">, </w:t>
      </w:r>
      <w:r>
        <w:rPr>
          <w:b/>
          <w:bCs/>
        </w:rPr>
        <w:t>Almeida JPP de</w:t>
      </w:r>
      <w:r>
        <w:t xml:space="preserve">, </w:t>
      </w:r>
      <w:r>
        <w:rPr>
          <w:b/>
          <w:bCs/>
        </w:rPr>
        <w:t>Ferreira FV</w:t>
      </w:r>
      <w:r>
        <w:t xml:space="preserve">, </w:t>
      </w:r>
      <w:r>
        <w:rPr>
          <w:b/>
          <w:bCs/>
        </w:rPr>
        <w:t>Armache JN</w:t>
      </w:r>
      <w:r>
        <w:t xml:space="preserve">, </w:t>
      </w:r>
      <w:r>
        <w:rPr>
          <w:b/>
          <w:bCs/>
        </w:rPr>
        <w:t>Faria IJS de</w:t>
      </w:r>
      <w:r>
        <w:t xml:space="preserve">, </w:t>
      </w:r>
      <w:r>
        <w:rPr>
          <w:b/>
          <w:bCs/>
        </w:rPr>
        <w:t>Ferreira AGA</w:t>
      </w:r>
      <w:r>
        <w:t xml:space="preserve">, </w:t>
      </w:r>
      <w:r>
        <w:rPr>
          <w:b/>
          <w:bCs/>
        </w:rPr>
        <w:t>Amadou SCG</w:t>
      </w:r>
      <w:r>
        <w:t xml:space="preserve">, </w:t>
      </w:r>
      <w:r>
        <w:rPr>
          <w:b/>
          <w:bCs/>
        </w:rPr>
        <w:t>Silva ATS</w:t>
      </w:r>
      <w:r>
        <w:t xml:space="preserve">, </w:t>
      </w:r>
      <w:r>
        <w:rPr>
          <w:b/>
          <w:bCs/>
        </w:rPr>
        <w:t>Souza KPR de</w:t>
      </w:r>
      <w:r>
        <w:t xml:space="preserve">, </w:t>
      </w:r>
      <w:r>
        <w:rPr>
          <w:b/>
          <w:bCs/>
        </w:rPr>
        <w:t>Vilela APP</w:t>
      </w:r>
      <w:r>
        <w:t xml:space="preserve">, </w:t>
      </w:r>
      <w:r>
        <w:rPr>
          <w:b/>
          <w:bCs/>
        </w:rPr>
        <w:t>Babarit A</w:t>
      </w:r>
      <w:r>
        <w:t xml:space="preserve">, </w:t>
      </w:r>
      <w:r>
        <w:rPr>
          <w:b/>
          <w:bCs/>
        </w:rPr>
        <w:t>Tan CH</w:t>
      </w:r>
      <w:r>
        <w:t xml:space="preserve">, </w:t>
      </w:r>
      <w:r>
        <w:rPr>
          <w:b/>
          <w:bCs/>
        </w:rPr>
        <w:t>Diallo M</w:t>
      </w:r>
      <w:r>
        <w:t xml:space="preserve">, </w:t>
      </w:r>
      <w:r>
        <w:rPr>
          <w:b/>
          <w:bCs/>
        </w:rPr>
        <w:t>Gaye A</w:t>
      </w:r>
      <w:r>
        <w:t xml:space="preserve">, </w:t>
      </w:r>
      <w:r>
        <w:rPr>
          <w:b/>
          <w:bCs/>
        </w:rPr>
        <w:t>Paupy C</w:t>
      </w:r>
      <w:r>
        <w:t xml:space="preserve">, </w:t>
      </w:r>
      <w:r>
        <w:rPr>
          <w:b/>
          <w:bCs/>
        </w:rPr>
        <w:t>Obame-Nkoghe J</w:t>
      </w:r>
      <w:r>
        <w:t xml:space="preserve">, </w:t>
      </w:r>
      <w:r>
        <w:rPr>
          <w:b/>
          <w:bCs/>
        </w:rPr>
        <w:t>Visser TM</w:t>
      </w:r>
      <w:r>
        <w:t xml:space="preserve">, </w:t>
      </w:r>
      <w:r>
        <w:rPr>
          <w:b/>
          <w:bCs/>
        </w:rPr>
        <w:t>Koenraadt CJM</w:t>
      </w:r>
      <w:r>
        <w:t xml:space="preserve">, </w:t>
      </w:r>
      <w:r>
        <w:rPr>
          <w:b/>
          <w:bCs/>
        </w:rPr>
        <w:t>Wongsokarijo MA</w:t>
      </w:r>
      <w:r>
        <w:t xml:space="preserve">, </w:t>
      </w:r>
      <w:r>
        <w:rPr>
          <w:b/>
          <w:bCs/>
        </w:rPr>
        <w:t>Cruz ALC</w:t>
      </w:r>
      <w:r>
        <w:t xml:space="preserve">, </w:t>
      </w:r>
      <w:r>
        <w:rPr>
          <w:b/>
          <w:bCs/>
        </w:rPr>
        <w:t>Prieto MT</w:t>
      </w:r>
      <w:r>
        <w:t xml:space="preserve">, </w:t>
      </w:r>
      <w:r>
        <w:rPr>
          <w:b/>
          <w:bCs/>
        </w:rPr>
        <w:t>Parra MCP</w:t>
      </w:r>
      <w:r>
        <w:t xml:space="preserve">, </w:t>
      </w:r>
      <w:r>
        <w:rPr>
          <w:b/>
          <w:bCs/>
        </w:rPr>
        <w:t>Nogueira ML</w:t>
      </w:r>
      <w:r>
        <w:t xml:space="preserve">, </w:t>
      </w:r>
      <w:r>
        <w:rPr>
          <w:b/>
          <w:bCs/>
        </w:rPr>
        <w:t>Avelino-Silva V</w:t>
      </w:r>
      <w:r>
        <w:t xml:space="preserve">, </w:t>
      </w:r>
      <w:r>
        <w:rPr>
          <w:b/>
          <w:bCs/>
        </w:rPr>
        <w:t>Mota RN</w:t>
      </w:r>
      <w:r>
        <w:t xml:space="preserve">, </w:t>
      </w:r>
      <w:r>
        <w:rPr>
          <w:b/>
          <w:bCs/>
        </w:rPr>
        <w:t>Borges MAZ</w:t>
      </w:r>
      <w:r>
        <w:t xml:space="preserve">, </w:t>
      </w:r>
      <w:r>
        <w:rPr>
          <w:b/>
          <w:bCs/>
        </w:rPr>
        <w:t>Drumond BP</w:t>
      </w:r>
      <w:r>
        <w:t xml:space="preserve">, </w:t>
      </w:r>
      <w:r>
        <w:rPr>
          <w:b/>
          <w:bCs/>
        </w:rPr>
        <w:t>Kroon EG</w:t>
      </w:r>
      <w:r>
        <w:t xml:space="preserve">, </w:t>
      </w:r>
      <w:r>
        <w:rPr>
          <w:b/>
          <w:bCs/>
        </w:rPr>
        <w:t>Recker M</w:t>
      </w:r>
      <w:r>
        <w:t xml:space="preserve">, </w:t>
      </w:r>
      <w:r>
        <w:rPr>
          <w:b/>
          <w:bCs/>
        </w:rPr>
        <w:t>Sedda L</w:t>
      </w:r>
      <w:r>
        <w:t xml:space="preserve">, </w:t>
      </w:r>
      <w:r>
        <w:rPr>
          <w:b/>
          <w:bCs/>
        </w:rPr>
        <w:t>Marois E</w:t>
      </w:r>
      <w:r>
        <w:t xml:space="preserve">, </w:t>
      </w:r>
      <w:r>
        <w:rPr>
          <w:b/>
          <w:bCs/>
        </w:rPr>
        <w:t>Imler J-L</w:t>
      </w:r>
      <w:r>
        <w:t xml:space="preserve">, </w:t>
      </w:r>
      <w:r>
        <w:rPr>
          <w:b/>
          <w:bCs/>
        </w:rPr>
        <w:t>Marques JT</w:t>
      </w:r>
      <w:r>
        <w:t xml:space="preserve">. 2023. Mosquito vector competence for dengue is modulated by insect-specific viruses. Nature Microbiology </w:t>
      </w:r>
      <w:r>
        <w:rPr>
          <w:b/>
          <w:bCs/>
        </w:rPr>
        <w:t>8</w:t>
      </w:r>
      <w:r>
        <w:t>:135–149. doi:</w:t>
      </w:r>
      <w:hyperlink r:id="rId50">
        <w:r w:rsidR="00B37F15">
          <w:rPr>
            <w:rStyle w:val="Hyperlink"/>
          </w:rPr>
          <w:t>10.1038/s41564-022-01289-4</w:t>
        </w:r>
      </w:hyperlink>
      <w:r>
        <w:t>.</w:t>
      </w:r>
    </w:p>
    <w:p w14:paraId="4447A55D" w14:textId="77777777" w:rsidR="00B37F15" w:rsidRDefault="00000000">
      <w:pPr>
        <w:pStyle w:val="Bibliography"/>
      </w:pPr>
      <w:bookmarkStart w:id="56" w:name="ref-Hollingsworth_2023"/>
      <w:bookmarkEnd w:id="55"/>
      <w:r>
        <w:t xml:space="preserve">32. </w:t>
      </w:r>
      <w:r>
        <w:tab/>
      </w:r>
      <w:r>
        <w:rPr>
          <w:b/>
          <w:bCs/>
        </w:rPr>
        <w:t>Hollingsworth BD</w:t>
      </w:r>
      <w:r>
        <w:t xml:space="preserve">, </w:t>
      </w:r>
      <w:r>
        <w:rPr>
          <w:b/>
          <w:bCs/>
        </w:rPr>
        <w:t>Grubaugh ND</w:t>
      </w:r>
      <w:r>
        <w:t xml:space="preserve">, </w:t>
      </w:r>
      <w:r>
        <w:rPr>
          <w:b/>
          <w:bCs/>
        </w:rPr>
        <w:t>Lazzaro BP</w:t>
      </w:r>
      <w:r>
        <w:t xml:space="preserve">, </w:t>
      </w:r>
      <w:r>
        <w:rPr>
          <w:b/>
          <w:bCs/>
        </w:rPr>
        <w:t>Murdock CC</w:t>
      </w:r>
      <w:r>
        <w:t xml:space="preserve">. 2023. Leveraging insect-specific viruses to elucidate mosquito population structure and dynamics. PLOS Pathogens </w:t>
      </w:r>
      <w:r>
        <w:rPr>
          <w:b/>
          <w:bCs/>
        </w:rPr>
        <w:t>19</w:t>
      </w:r>
      <w:r>
        <w:t>:e1011588. doi:</w:t>
      </w:r>
      <w:hyperlink r:id="rId51">
        <w:r w:rsidR="00B37F15">
          <w:rPr>
            <w:rStyle w:val="Hyperlink"/>
          </w:rPr>
          <w:t>10.1371/journal.ppat.1011588</w:t>
        </w:r>
      </w:hyperlink>
      <w:r>
        <w:t>.</w:t>
      </w:r>
    </w:p>
    <w:p w14:paraId="0B9FA772" w14:textId="77777777" w:rsidR="00B37F15" w:rsidRDefault="00000000">
      <w:pPr>
        <w:pStyle w:val="Bibliography"/>
      </w:pPr>
      <w:bookmarkStart w:id="57" w:name="ref-Parry_2018"/>
      <w:bookmarkEnd w:id="56"/>
      <w:r>
        <w:t xml:space="preserve">33. </w:t>
      </w:r>
      <w:r>
        <w:tab/>
      </w:r>
      <w:r>
        <w:rPr>
          <w:b/>
          <w:bCs/>
        </w:rPr>
        <w:t>Parry R</w:t>
      </w:r>
      <w:r>
        <w:t xml:space="preserve">, </w:t>
      </w:r>
      <w:r>
        <w:rPr>
          <w:b/>
          <w:bCs/>
        </w:rPr>
        <w:t>Asgari S</w:t>
      </w:r>
      <w:r>
        <w:t xml:space="preserve">. 2018. Aedes anphevirus: An insect-specific virus distributed worldwide in aedes aegypti mosquitoes that has complex interplays with wolbachia and dengue virus infection in cells. Journal of Virology </w:t>
      </w:r>
      <w:r>
        <w:rPr>
          <w:b/>
          <w:bCs/>
        </w:rPr>
        <w:t>92</w:t>
      </w:r>
      <w:r>
        <w:t>. doi:</w:t>
      </w:r>
      <w:hyperlink r:id="rId52">
        <w:r w:rsidR="00B37F15">
          <w:rPr>
            <w:rStyle w:val="Hyperlink"/>
          </w:rPr>
          <w:t>10.1128/jvi.00224-18</w:t>
        </w:r>
      </w:hyperlink>
      <w:r>
        <w:t>.</w:t>
      </w:r>
    </w:p>
    <w:p w14:paraId="06E77EE8" w14:textId="77777777" w:rsidR="00B37F15" w:rsidRDefault="00000000">
      <w:pPr>
        <w:pStyle w:val="Bibliography"/>
      </w:pPr>
      <w:bookmarkStart w:id="58" w:name="ref-Shi_2020"/>
      <w:bookmarkEnd w:id="57"/>
      <w:r>
        <w:t xml:space="preserve">34. </w:t>
      </w:r>
      <w:r>
        <w:tab/>
      </w:r>
      <w:r>
        <w:rPr>
          <w:b/>
          <w:bCs/>
        </w:rPr>
        <w:t>Shi C</w:t>
      </w:r>
      <w:r>
        <w:t xml:space="preserve">, </w:t>
      </w:r>
      <w:r>
        <w:rPr>
          <w:b/>
          <w:bCs/>
        </w:rPr>
        <w:t>Zhao L</w:t>
      </w:r>
      <w:r>
        <w:t xml:space="preserve">, </w:t>
      </w:r>
      <w:r>
        <w:rPr>
          <w:b/>
          <w:bCs/>
        </w:rPr>
        <w:t>Atoni E</w:t>
      </w:r>
      <w:r>
        <w:t xml:space="preserve">, </w:t>
      </w:r>
      <w:r>
        <w:rPr>
          <w:b/>
          <w:bCs/>
        </w:rPr>
        <w:t>Zeng W</w:t>
      </w:r>
      <w:r>
        <w:t xml:space="preserve">, </w:t>
      </w:r>
      <w:r>
        <w:rPr>
          <w:b/>
          <w:bCs/>
        </w:rPr>
        <w:t>Hu X</w:t>
      </w:r>
      <w:r>
        <w:t xml:space="preserve">, </w:t>
      </w:r>
      <w:r>
        <w:rPr>
          <w:b/>
          <w:bCs/>
        </w:rPr>
        <w:t>Matthijnssens J</w:t>
      </w:r>
      <w:r>
        <w:t xml:space="preserve">, </w:t>
      </w:r>
      <w:r>
        <w:rPr>
          <w:b/>
          <w:bCs/>
        </w:rPr>
        <w:t>Yuan Z</w:t>
      </w:r>
      <w:r>
        <w:t xml:space="preserve">, </w:t>
      </w:r>
      <w:r>
        <w:rPr>
          <w:b/>
          <w:bCs/>
        </w:rPr>
        <w:t>Xia H</w:t>
      </w:r>
      <w:r>
        <w:t xml:space="preserve">. 2020. Stability of the virome in lab- and field-collected aedes albopictus mosquitoes across different developmental stages and possible core viruses in the publicly available virome data of aedes mosquitoes. mSystems </w:t>
      </w:r>
      <w:r>
        <w:rPr>
          <w:b/>
          <w:bCs/>
        </w:rPr>
        <w:t>5</w:t>
      </w:r>
      <w:r>
        <w:t>. doi:</w:t>
      </w:r>
      <w:hyperlink r:id="rId53">
        <w:r w:rsidR="00B37F15">
          <w:rPr>
            <w:rStyle w:val="Hyperlink"/>
          </w:rPr>
          <w:t>10.1128/msystems.00640-20</w:t>
        </w:r>
      </w:hyperlink>
      <w:r>
        <w:t>.</w:t>
      </w:r>
    </w:p>
    <w:p w14:paraId="79FC507C" w14:textId="77777777" w:rsidR="00B37F15" w:rsidRDefault="00000000">
      <w:pPr>
        <w:pStyle w:val="Bibliography"/>
      </w:pPr>
      <w:bookmarkStart w:id="59" w:name="ref-Coatsworth_2022"/>
      <w:bookmarkEnd w:id="58"/>
      <w:r>
        <w:t xml:space="preserve">35. </w:t>
      </w:r>
      <w:r>
        <w:tab/>
      </w:r>
      <w:r>
        <w:rPr>
          <w:b/>
          <w:bCs/>
        </w:rPr>
        <w:t>Coatsworth H</w:t>
      </w:r>
      <w:r>
        <w:t xml:space="preserve">, </w:t>
      </w:r>
      <w:r>
        <w:rPr>
          <w:b/>
          <w:bCs/>
        </w:rPr>
        <w:t>Bozic J</w:t>
      </w:r>
      <w:r>
        <w:t xml:space="preserve">, </w:t>
      </w:r>
      <w:r>
        <w:rPr>
          <w:b/>
          <w:bCs/>
        </w:rPr>
        <w:t>Carrillo J</w:t>
      </w:r>
      <w:r>
        <w:t xml:space="preserve">, </w:t>
      </w:r>
      <w:r>
        <w:rPr>
          <w:b/>
          <w:bCs/>
        </w:rPr>
        <w:t>Buckner EA</w:t>
      </w:r>
      <w:r>
        <w:t xml:space="preserve">, </w:t>
      </w:r>
      <w:r>
        <w:rPr>
          <w:b/>
          <w:bCs/>
        </w:rPr>
        <w:t>Rivers AR</w:t>
      </w:r>
      <w:r>
        <w:t xml:space="preserve">, </w:t>
      </w:r>
      <w:r>
        <w:rPr>
          <w:b/>
          <w:bCs/>
        </w:rPr>
        <w:t>Dinglasan RR</w:t>
      </w:r>
      <w:r>
        <w:t xml:space="preserve">, </w:t>
      </w:r>
      <w:r>
        <w:rPr>
          <w:b/>
          <w:bCs/>
        </w:rPr>
        <w:t>Mathias DK</w:t>
      </w:r>
      <w:r>
        <w:t xml:space="preserve">. 2022. Intrinsic variation in the vertically transmitted core virome of the mosquito aedes aegypti. Molecular Ecology </w:t>
      </w:r>
      <w:r>
        <w:rPr>
          <w:b/>
          <w:bCs/>
        </w:rPr>
        <w:t>31</w:t>
      </w:r>
      <w:r>
        <w:t>:2545–2561. doi:</w:t>
      </w:r>
      <w:hyperlink r:id="rId54">
        <w:r w:rsidR="00B37F15">
          <w:rPr>
            <w:rStyle w:val="Hyperlink"/>
          </w:rPr>
          <w:t>10.1111/mec.16412</w:t>
        </w:r>
      </w:hyperlink>
      <w:r>
        <w:t>.</w:t>
      </w:r>
    </w:p>
    <w:p w14:paraId="5FA8ACD1" w14:textId="77777777" w:rsidR="00B37F15" w:rsidRDefault="00000000">
      <w:pPr>
        <w:pStyle w:val="Bibliography"/>
      </w:pPr>
      <w:bookmarkStart w:id="60" w:name="ref-Vera_Maloof_2015"/>
      <w:bookmarkEnd w:id="59"/>
      <w:r>
        <w:lastRenderedPageBreak/>
        <w:t xml:space="preserve">36. </w:t>
      </w:r>
      <w:r>
        <w:tab/>
      </w:r>
      <w:r>
        <w:rPr>
          <w:b/>
          <w:bCs/>
        </w:rPr>
        <w:t>Vera-Maloof FZ</w:t>
      </w:r>
      <w:r>
        <w:t xml:space="preserve">, </w:t>
      </w:r>
      <w:r>
        <w:rPr>
          <w:b/>
          <w:bCs/>
        </w:rPr>
        <w:t>Saavedra-Rodriguez K</w:t>
      </w:r>
      <w:r>
        <w:t xml:space="preserve">, </w:t>
      </w:r>
      <w:r>
        <w:rPr>
          <w:b/>
          <w:bCs/>
        </w:rPr>
        <w:t>Elizondo-Quiroga AE</w:t>
      </w:r>
      <w:r>
        <w:t xml:space="preserve">, </w:t>
      </w:r>
      <w:r>
        <w:rPr>
          <w:b/>
          <w:bCs/>
        </w:rPr>
        <w:t>Lozano-Fuentes S</w:t>
      </w:r>
      <w:r>
        <w:t xml:space="preserve">, </w:t>
      </w:r>
      <w:r>
        <w:rPr>
          <w:b/>
          <w:bCs/>
        </w:rPr>
        <w:t>Black IV WC</w:t>
      </w:r>
      <w:r>
        <w:t xml:space="preserve">. 2015. Coevolution of the Ile1,016 and Cys1,534 mutations in the voltage gated sodium channel gene of aedes aegypti in mexico. PLOS Neglected Tropical Diseases </w:t>
      </w:r>
      <w:r>
        <w:rPr>
          <w:b/>
          <w:bCs/>
        </w:rPr>
        <w:t>9</w:t>
      </w:r>
      <w:r>
        <w:t>:e0004263. doi:</w:t>
      </w:r>
      <w:hyperlink r:id="rId55">
        <w:r w:rsidR="00B37F15">
          <w:rPr>
            <w:rStyle w:val="Hyperlink"/>
          </w:rPr>
          <w:t>10.1371/journal.pntd.0004263</w:t>
        </w:r>
      </w:hyperlink>
      <w:r>
        <w:t>.</w:t>
      </w:r>
    </w:p>
    <w:p w14:paraId="64FAACDC" w14:textId="77777777" w:rsidR="00B37F15" w:rsidRDefault="00000000">
      <w:pPr>
        <w:pStyle w:val="Bibliography"/>
      </w:pPr>
      <w:bookmarkStart w:id="61" w:name="ref-Solis_Santoyo_2021"/>
      <w:bookmarkEnd w:id="60"/>
      <w:r>
        <w:t xml:space="preserve">37. </w:t>
      </w:r>
      <w:r>
        <w:tab/>
      </w:r>
      <w:r>
        <w:rPr>
          <w:b/>
          <w:bCs/>
        </w:rPr>
        <w:t>Solis-Santoyo F</w:t>
      </w:r>
      <w:r>
        <w:t xml:space="preserve">, </w:t>
      </w:r>
      <w:r>
        <w:rPr>
          <w:b/>
          <w:bCs/>
        </w:rPr>
        <w:t>Rodriguez AD</w:t>
      </w:r>
      <w:r>
        <w:t xml:space="preserve">, </w:t>
      </w:r>
      <w:r>
        <w:rPr>
          <w:b/>
          <w:bCs/>
        </w:rPr>
        <w:t>Penilla-Navarro RP</w:t>
      </w:r>
      <w:r>
        <w:t xml:space="preserve">, </w:t>
      </w:r>
      <w:r>
        <w:rPr>
          <w:b/>
          <w:bCs/>
        </w:rPr>
        <w:t>Sanchez D</w:t>
      </w:r>
      <w:r>
        <w:t xml:space="preserve">, </w:t>
      </w:r>
      <w:r>
        <w:rPr>
          <w:b/>
          <w:bCs/>
        </w:rPr>
        <w:t>Castillo-Vera A</w:t>
      </w:r>
      <w:r>
        <w:t xml:space="preserve">, </w:t>
      </w:r>
      <w:r>
        <w:rPr>
          <w:b/>
          <w:bCs/>
        </w:rPr>
        <w:t>Lopez-Solis AD</w:t>
      </w:r>
      <w:r>
        <w:t xml:space="preserve">, </w:t>
      </w:r>
      <w:r>
        <w:rPr>
          <w:b/>
          <w:bCs/>
        </w:rPr>
        <w:t>Vazquez-Lopez ED</w:t>
      </w:r>
      <w:r>
        <w:t xml:space="preserve">, </w:t>
      </w:r>
      <w:r>
        <w:rPr>
          <w:b/>
          <w:bCs/>
        </w:rPr>
        <w:t>Lozano S</w:t>
      </w:r>
      <w:r>
        <w:t xml:space="preserve">, </w:t>
      </w:r>
      <w:r>
        <w:rPr>
          <w:b/>
          <w:bCs/>
        </w:rPr>
        <w:t>Black WC</w:t>
      </w:r>
      <w:r>
        <w:t xml:space="preserve">, </w:t>
      </w:r>
      <w:r>
        <w:rPr>
          <w:b/>
          <w:bCs/>
        </w:rPr>
        <w:t>Saavedra-Rodriguez K</w:t>
      </w:r>
      <w:r>
        <w:t xml:space="preserve">. 2021. Insecticide resistance in aedes aegypti from tapachula, mexico: Spatial variation and response to historical insecticide use. PLOS Neglected Tropical Diseases </w:t>
      </w:r>
      <w:r>
        <w:rPr>
          <w:b/>
          <w:bCs/>
        </w:rPr>
        <w:t>15</w:t>
      </w:r>
      <w:r>
        <w:t>:e0009746. doi:</w:t>
      </w:r>
      <w:hyperlink r:id="rId56">
        <w:r w:rsidR="00B37F15">
          <w:rPr>
            <w:rStyle w:val="Hyperlink"/>
          </w:rPr>
          <w:t>10.1371/journal.pntd.0009746</w:t>
        </w:r>
      </w:hyperlink>
      <w:r>
        <w:t>.</w:t>
      </w:r>
    </w:p>
    <w:p w14:paraId="7FC65314" w14:textId="77777777" w:rsidR="00B37F15" w:rsidRDefault="00000000">
      <w:pPr>
        <w:pStyle w:val="Bibliography"/>
      </w:pPr>
      <w:bookmarkStart w:id="62" w:name="ref-Vera_Maloof_2020"/>
      <w:bookmarkEnd w:id="61"/>
      <w:r>
        <w:t xml:space="preserve">38. </w:t>
      </w:r>
      <w:r>
        <w:tab/>
      </w:r>
      <w:r>
        <w:rPr>
          <w:b/>
          <w:bCs/>
        </w:rPr>
        <w:t>Vera-Maloof FZ</w:t>
      </w:r>
      <w:r>
        <w:t xml:space="preserve">, </w:t>
      </w:r>
      <w:r>
        <w:rPr>
          <w:b/>
          <w:bCs/>
        </w:rPr>
        <w:t>Saavedra-Rodriguez K</w:t>
      </w:r>
      <w:r>
        <w:t xml:space="preserve">, </w:t>
      </w:r>
      <w:r>
        <w:rPr>
          <w:b/>
          <w:bCs/>
        </w:rPr>
        <w:t>Penilla-Navarro RP</w:t>
      </w:r>
      <w:r>
        <w:t xml:space="preserve">, </w:t>
      </w:r>
      <w:r>
        <w:rPr>
          <w:b/>
          <w:bCs/>
        </w:rPr>
        <w:t>D. Rodriguez-Ramirez A</w:t>
      </w:r>
      <w:r>
        <w:t xml:space="preserve">, </w:t>
      </w:r>
      <w:r>
        <w:rPr>
          <w:b/>
          <w:bCs/>
        </w:rPr>
        <w:t>Dzul F</w:t>
      </w:r>
      <w:r>
        <w:t xml:space="preserve">, </w:t>
      </w:r>
      <w:r>
        <w:rPr>
          <w:b/>
          <w:bCs/>
        </w:rPr>
        <w:t>Manrique-Saide P</w:t>
      </w:r>
      <w:r>
        <w:t xml:space="preserve">, </w:t>
      </w:r>
      <w:r>
        <w:rPr>
          <w:b/>
          <w:bCs/>
        </w:rPr>
        <w:t>Black WC</w:t>
      </w:r>
      <w:r>
        <w:t xml:space="preserve">. 2020. Loss of pyrethroid resistance in newly established laboratory colonies of aedes aegypti. PLOS Neglected Tropical Diseases </w:t>
      </w:r>
      <w:r>
        <w:rPr>
          <w:b/>
          <w:bCs/>
        </w:rPr>
        <w:t>14</w:t>
      </w:r>
      <w:r>
        <w:t>:e0007753. doi:</w:t>
      </w:r>
      <w:hyperlink r:id="rId57">
        <w:r w:rsidR="00B37F15">
          <w:rPr>
            <w:rStyle w:val="Hyperlink"/>
          </w:rPr>
          <w:t>10.1371/journal.pntd.0007753</w:t>
        </w:r>
      </w:hyperlink>
      <w:r>
        <w:t>.</w:t>
      </w:r>
    </w:p>
    <w:p w14:paraId="766E1A54" w14:textId="77777777" w:rsidR="00B37F15" w:rsidRDefault="00000000">
      <w:pPr>
        <w:pStyle w:val="Bibliography"/>
      </w:pPr>
      <w:bookmarkStart w:id="63" w:name="ref-Kubik_2021"/>
      <w:bookmarkEnd w:id="62"/>
      <w:r>
        <w:t xml:space="preserve">39. </w:t>
      </w:r>
      <w:r>
        <w:tab/>
      </w:r>
      <w:r>
        <w:rPr>
          <w:b/>
          <w:bCs/>
        </w:rPr>
        <w:t>Kubik TD</w:t>
      </w:r>
      <w:r>
        <w:t xml:space="preserve">, </w:t>
      </w:r>
      <w:r>
        <w:rPr>
          <w:b/>
          <w:bCs/>
        </w:rPr>
        <w:t>Snell TK</w:t>
      </w:r>
      <w:r>
        <w:t xml:space="preserve">, </w:t>
      </w:r>
      <w:r>
        <w:rPr>
          <w:b/>
          <w:bCs/>
        </w:rPr>
        <w:t>Saavedra-Rodriguez K</w:t>
      </w:r>
      <w:r>
        <w:t xml:space="preserve">, </w:t>
      </w:r>
      <w:r>
        <w:rPr>
          <w:b/>
          <w:bCs/>
        </w:rPr>
        <w:t>Wilusz J</w:t>
      </w:r>
      <w:r>
        <w:t xml:space="preserve">, </w:t>
      </w:r>
      <w:r>
        <w:rPr>
          <w:b/>
          <w:bCs/>
        </w:rPr>
        <w:t>Anderson JR</w:t>
      </w:r>
      <w:r>
        <w:t xml:space="preserve">, </w:t>
      </w:r>
      <w:r>
        <w:rPr>
          <w:b/>
          <w:bCs/>
        </w:rPr>
        <w:t>Lozano-Fuentes S</w:t>
      </w:r>
      <w:r>
        <w:t xml:space="preserve">, </w:t>
      </w:r>
      <w:r>
        <w:rPr>
          <w:b/>
          <w:bCs/>
        </w:rPr>
        <w:t>Black WC</w:t>
      </w:r>
      <w:r>
        <w:t xml:space="preserve">, </w:t>
      </w:r>
      <w:r>
        <w:rPr>
          <w:b/>
          <w:bCs/>
        </w:rPr>
        <w:t>Campbell CL</w:t>
      </w:r>
      <w:r>
        <w:t xml:space="preserve">. 2021. Aedes aegypti miRNA-33 modulates permethrin induced toxicity by regulating VGSC transcripts. Scientific Reports </w:t>
      </w:r>
      <w:r>
        <w:rPr>
          <w:b/>
          <w:bCs/>
        </w:rPr>
        <w:t>11</w:t>
      </w:r>
      <w:r>
        <w:t>. doi:</w:t>
      </w:r>
      <w:hyperlink r:id="rId58">
        <w:r w:rsidR="00B37F15">
          <w:rPr>
            <w:rStyle w:val="Hyperlink"/>
          </w:rPr>
          <w:t>10.1038/s41598-021-86665-6</w:t>
        </w:r>
      </w:hyperlink>
      <w:r>
        <w:t>.</w:t>
      </w:r>
    </w:p>
    <w:p w14:paraId="78F4F04A" w14:textId="77777777" w:rsidR="00B37F15" w:rsidRDefault="00000000">
      <w:pPr>
        <w:pStyle w:val="Bibliography"/>
      </w:pPr>
      <w:bookmarkStart w:id="64" w:name="ref-Dzaki_2017"/>
      <w:bookmarkEnd w:id="63"/>
      <w:r>
        <w:t xml:space="preserve">40. </w:t>
      </w:r>
      <w:r>
        <w:tab/>
      </w:r>
      <w:r>
        <w:rPr>
          <w:b/>
          <w:bCs/>
        </w:rPr>
        <w:t>Dzaki N</w:t>
      </w:r>
      <w:r>
        <w:t xml:space="preserve">, </w:t>
      </w:r>
      <w:r>
        <w:rPr>
          <w:b/>
          <w:bCs/>
        </w:rPr>
        <w:t>Ramli KN</w:t>
      </w:r>
      <w:r>
        <w:t xml:space="preserve">, </w:t>
      </w:r>
      <w:r>
        <w:rPr>
          <w:b/>
          <w:bCs/>
        </w:rPr>
        <w:t>Azlan A</w:t>
      </w:r>
      <w:r>
        <w:t xml:space="preserve">, </w:t>
      </w:r>
      <w:r>
        <w:rPr>
          <w:b/>
          <w:bCs/>
        </w:rPr>
        <w:t>Ishak IH</w:t>
      </w:r>
      <w:r>
        <w:t xml:space="preserve">, </w:t>
      </w:r>
      <w:r>
        <w:rPr>
          <w:b/>
          <w:bCs/>
        </w:rPr>
        <w:t>Azzam G</w:t>
      </w:r>
      <w:r>
        <w:t xml:space="preserve">. 2017. Evaluation of reference genes at different developmental stages for quantitative real-time PCR in aedes aegypti. Scientific Reports </w:t>
      </w:r>
      <w:r>
        <w:rPr>
          <w:b/>
          <w:bCs/>
        </w:rPr>
        <w:t>7</w:t>
      </w:r>
      <w:r>
        <w:t>. doi:</w:t>
      </w:r>
      <w:hyperlink r:id="rId59">
        <w:r w:rsidR="00B37F15">
          <w:rPr>
            <w:rStyle w:val="Hyperlink"/>
          </w:rPr>
          <w:t>10.1038/srep43618</w:t>
        </w:r>
      </w:hyperlink>
      <w:r>
        <w:t>.</w:t>
      </w:r>
    </w:p>
    <w:p w14:paraId="67B336C0" w14:textId="77777777" w:rsidR="00B37F15" w:rsidRDefault="00000000">
      <w:pPr>
        <w:pStyle w:val="Bibliography"/>
      </w:pPr>
      <w:bookmarkStart w:id="65" w:name="ref-Bates_2015"/>
      <w:bookmarkEnd w:id="64"/>
      <w:r>
        <w:t xml:space="preserve">41. </w:t>
      </w:r>
      <w:r>
        <w:tab/>
      </w:r>
      <w:r>
        <w:rPr>
          <w:b/>
          <w:bCs/>
        </w:rPr>
        <w:t>Bates D</w:t>
      </w:r>
      <w:r>
        <w:t xml:space="preserve">, </w:t>
      </w:r>
      <w:r>
        <w:rPr>
          <w:b/>
          <w:bCs/>
        </w:rPr>
        <w:t>Mächler M</w:t>
      </w:r>
      <w:r>
        <w:t xml:space="preserve">, </w:t>
      </w:r>
      <w:r>
        <w:rPr>
          <w:b/>
          <w:bCs/>
        </w:rPr>
        <w:t>Bolker B</w:t>
      </w:r>
      <w:r>
        <w:t xml:space="preserve">, </w:t>
      </w:r>
      <w:r>
        <w:rPr>
          <w:b/>
          <w:bCs/>
        </w:rPr>
        <w:t>Walker S</w:t>
      </w:r>
      <w:r>
        <w:t xml:space="preserve">. 2015. Fitting linear mixed-effects models using lme4. Journal of Statistical Software </w:t>
      </w:r>
      <w:r>
        <w:rPr>
          <w:b/>
          <w:bCs/>
        </w:rPr>
        <w:t>67</w:t>
      </w:r>
      <w:r>
        <w:t>. doi:</w:t>
      </w:r>
      <w:hyperlink r:id="rId60">
        <w:r w:rsidR="00B37F15">
          <w:rPr>
            <w:rStyle w:val="Hyperlink"/>
          </w:rPr>
          <w:t>10.18637/jss.v067.i01</w:t>
        </w:r>
      </w:hyperlink>
      <w:r>
        <w:t>.</w:t>
      </w:r>
    </w:p>
    <w:p w14:paraId="614844EE" w14:textId="77777777" w:rsidR="00B37F15" w:rsidRDefault="00000000">
      <w:pPr>
        <w:pStyle w:val="Bibliography"/>
      </w:pPr>
      <w:bookmarkStart w:id="66" w:name="ref-Cross_2020"/>
      <w:bookmarkEnd w:id="65"/>
      <w:r>
        <w:t xml:space="preserve">42. </w:t>
      </w:r>
      <w:r>
        <w:tab/>
      </w:r>
      <w:r>
        <w:rPr>
          <w:b/>
          <w:bCs/>
        </w:rPr>
        <w:t>Cross ST</w:t>
      </w:r>
      <w:r>
        <w:t xml:space="preserve">, </w:t>
      </w:r>
      <w:r>
        <w:rPr>
          <w:b/>
          <w:bCs/>
        </w:rPr>
        <w:t>Maertens BL</w:t>
      </w:r>
      <w:r>
        <w:t xml:space="preserve">, </w:t>
      </w:r>
      <w:r>
        <w:rPr>
          <w:b/>
          <w:bCs/>
        </w:rPr>
        <w:t>Dunham TJ</w:t>
      </w:r>
      <w:r>
        <w:t xml:space="preserve">, </w:t>
      </w:r>
      <w:r>
        <w:rPr>
          <w:b/>
          <w:bCs/>
        </w:rPr>
        <w:t>Rodgers CP</w:t>
      </w:r>
      <w:r>
        <w:t xml:space="preserve">, </w:t>
      </w:r>
      <w:r>
        <w:rPr>
          <w:b/>
          <w:bCs/>
        </w:rPr>
        <w:t>Brehm AL</w:t>
      </w:r>
      <w:r>
        <w:t xml:space="preserve">, </w:t>
      </w:r>
      <w:r>
        <w:rPr>
          <w:b/>
          <w:bCs/>
        </w:rPr>
        <w:t>Miller MR</w:t>
      </w:r>
      <w:r>
        <w:t xml:space="preserve">, </w:t>
      </w:r>
      <w:r>
        <w:rPr>
          <w:b/>
          <w:bCs/>
        </w:rPr>
        <w:t>Williams AM</w:t>
      </w:r>
      <w:r>
        <w:t xml:space="preserve">, </w:t>
      </w:r>
      <w:r>
        <w:rPr>
          <w:b/>
          <w:bCs/>
        </w:rPr>
        <w:t>Foy BD</w:t>
      </w:r>
      <w:r>
        <w:t xml:space="preserve">, </w:t>
      </w:r>
      <w:r>
        <w:rPr>
          <w:b/>
          <w:bCs/>
        </w:rPr>
        <w:t>Stenglein MD</w:t>
      </w:r>
      <w:r>
        <w:t xml:space="preserve">. 2020. Partitiviruses infecting drosophila melanogaster and aedes aegypti exhibit efficient biparental vertical transmission. Journal of Virology </w:t>
      </w:r>
      <w:r>
        <w:rPr>
          <w:b/>
          <w:bCs/>
        </w:rPr>
        <w:t>94</w:t>
      </w:r>
      <w:r>
        <w:t>. doi:</w:t>
      </w:r>
      <w:hyperlink r:id="rId61">
        <w:r w:rsidR="00B37F15">
          <w:rPr>
            <w:rStyle w:val="Hyperlink"/>
          </w:rPr>
          <w:t>10.1128/jvi.01070-20</w:t>
        </w:r>
      </w:hyperlink>
      <w:r>
        <w:t>.</w:t>
      </w:r>
    </w:p>
    <w:p w14:paraId="2C894EDB" w14:textId="77777777" w:rsidR="00B37F15" w:rsidRDefault="00000000">
      <w:pPr>
        <w:pStyle w:val="Bibliography"/>
      </w:pPr>
      <w:bookmarkStart w:id="67" w:name="ref-Martin_2011"/>
      <w:bookmarkEnd w:id="66"/>
      <w:r>
        <w:t xml:space="preserve">43. </w:t>
      </w:r>
      <w:r>
        <w:tab/>
      </w:r>
      <w:r>
        <w:rPr>
          <w:b/>
          <w:bCs/>
        </w:rPr>
        <w:t>Martin M</w:t>
      </w:r>
      <w:r>
        <w:t xml:space="preserve">. 2011. Cutadapt removes adapter sequences from high-throughput sequencing reads. EMBnetjournal </w:t>
      </w:r>
      <w:r>
        <w:rPr>
          <w:b/>
          <w:bCs/>
        </w:rPr>
        <w:t>17</w:t>
      </w:r>
      <w:r>
        <w:t>:10. doi:</w:t>
      </w:r>
      <w:hyperlink r:id="rId62">
        <w:r w:rsidR="00B37F15">
          <w:rPr>
            <w:rStyle w:val="Hyperlink"/>
          </w:rPr>
          <w:t>10.14806/ej.17.1.200</w:t>
        </w:r>
      </w:hyperlink>
      <w:r>
        <w:t>.</w:t>
      </w:r>
    </w:p>
    <w:p w14:paraId="2AA2ECB8" w14:textId="77777777" w:rsidR="00B37F15" w:rsidRDefault="00000000">
      <w:pPr>
        <w:pStyle w:val="Bibliography"/>
      </w:pPr>
      <w:bookmarkStart w:id="68" w:name="ref-Matthews_2018"/>
      <w:bookmarkEnd w:id="67"/>
      <w:r>
        <w:t xml:space="preserve">44. </w:t>
      </w:r>
      <w:r>
        <w:tab/>
      </w:r>
      <w:r>
        <w:rPr>
          <w:b/>
          <w:bCs/>
        </w:rPr>
        <w:t>Matthews BJ</w:t>
      </w:r>
      <w:r>
        <w:t xml:space="preserve">, </w:t>
      </w:r>
      <w:r>
        <w:rPr>
          <w:b/>
          <w:bCs/>
        </w:rPr>
        <w:t>Dudchenko O</w:t>
      </w:r>
      <w:r>
        <w:t xml:space="preserve">, </w:t>
      </w:r>
      <w:r>
        <w:rPr>
          <w:b/>
          <w:bCs/>
        </w:rPr>
        <w:t>Kingan SB</w:t>
      </w:r>
      <w:r>
        <w:t xml:space="preserve">, </w:t>
      </w:r>
      <w:r>
        <w:rPr>
          <w:b/>
          <w:bCs/>
        </w:rPr>
        <w:t>Koren S</w:t>
      </w:r>
      <w:r>
        <w:t xml:space="preserve">, </w:t>
      </w:r>
      <w:r>
        <w:rPr>
          <w:b/>
          <w:bCs/>
        </w:rPr>
        <w:t>Antoshechkin I</w:t>
      </w:r>
      <w:r>
        <w:t xml:space="preserve">, </w:t>
      </w:r>
      <w:r>
        <w:rPr>
          <w:b/>
          <w:bCs/>
        </w:rPr>
        <w:t>Crawford JE</w:t>
      </w:r>
      <w:r>
        <w:t xml:space="preserve">, </w:t>
      </w:r>
      <w:r>
        <w:rPr>
          <w:b/>
          <w:bCs/>
        </w:rPr>
        <w:t>Glassford WJ</w:t>
      </w:r>
      <w:r>
        <w:t xml:space="preserve">, </w:t>
      </w:r>
      <w:r>
        <w:rPr>
          <w:b/>
          <w:bCs/>
        </w:rPr>
        <w:t>Herre M</w:t>
      </w:r>
      <w:r>
        <w:t xml:space="preserve">, </w:t>
      </w:r>
      <w:r>
        <w:rPr>
          <w:b/>
          <w:bCs/>
        </w:rPr>
        <w:t>Redmond SN</w:t>
      </w:r>
      <w:r>
        <w:t xml:space="preserve">, </w:t>
      </w:r>
      <w:r>
        <w:rPr>
          <w:b/>
          <w:bCs/>
        </w:rPr>
        <w:t>Rose NH</w:t>
      </w:r>
      <w:r>
        <w:t xml:space="preserve">, </w:t>
      </w:r>
      <w:r>
        <w:rPr>
          <w:b/>
          <w:bCs/>
        </w:rPr>
        <w:t>Weedall GD</w:t>
      </w:r>
      <w:r>
        <w:t xml:space="preserve">, </w:t>
      </w:r>
      <w:r>
        <w:rPr>
          <w:b/>
          <w:bCs/>
        </w:rPr>
        <w:t>Wu Y</w:t>
      </w:r>
      <w:r>
        <w:t xml:space="preserve">, </w:t>
      </w:r>
      <w:r>
        <w:rPr>
          <w:b/>
          <w:bCs/>
        </w:rPr>
        <w:t>Batra SS</w:t>
      </w:r>
      <w:r>
        <w:t xml:space="preserve">, </w:t>
      </w:r>
      <w:r>
        <w:rPr>
          <w:b/>
          <w:bCs/>
        </w:rPr>
        <w:t xml:space="preserve">Brito-Sierra </w:t>
      </w:r>
      <w:r>
        <w:rPr>
          <w:b/>
          <w:bCs/>
        </w:rPr>
        <w:lastRenderedPageBreak/>
        <w:t>CA</w:t>
      </w:r>
      <w:r>
        <w:t xml:space="preserve">, </w:t>
      </w:r>
      <w:r>
        <w:rPr>
          <w:b/>
          <w:bCs/>
        </w:rPr>
        <w:t>Buckingham SD</w:t>
      </w:r>
      <w:r>
        <w:t xml:space="preserve">, </w:t>
      </w:r>
      <w:r>
        <w:rPr>
          <w:b/>
          <w:bCs/>
        </w:rPr>
        <w:t>Campbell CL</w:t>
      </w:r>
      <w:r>
        <w:t xml:space="preserve">, </w:t>
      </w:r>
      <w:r>
        <w:rPr>
          <w:b/>
          <w:bCs/>
        </w:rPr>
        <w:t>Chan S</w:t>
      </w:r>
      <w:r>
        <w:t xml:space="preserve">, </w:t>
      </w:r>
      <w:r>
        <w:rPr>
          <w:b/>
          <w:bCs/>
        </w:rPr>
        <w:t>Cox E</w:t>
      </w:r>
      <w:r>
        <w:t xml:space="preserve">, </w:t>
      </w:r>
      <w:r>
        <w:rPr>
          <w:b/>
          <w:bCs/>
        </w:rPr>
        <w:t>Evans BR</w:t>
      </w:r>
      <w:r>
        <w:t xml:space="preserve">, </w:t>
      </w:r>
      <w:r>
        <w:rPr>
          <w:b/>
          <w:bCs/>
        </w:rPr>
        <w:t>Fansiri T</w:t>
      </w:r>
      <w:r>
        <w:t xml:space="preserve">, </w:t>
      </w:r>
      <w:r>
        <w:rPr>
          <w:b/>
          <w:bCs/>
        </w:rPr>
        <w:t>Filipović I</w:t>
      </w:r>
      <w:r>
        <w:t xml:space="preserve">, </w:t>
      </w:r>
      <w:r>
        <w:rPr>
          <w:b/>
          <w:bCs/>
        </w:rPr>
        <w:t>Fontaine A</w:t>
      </w:r>
      <w:r>
        <w:t xml:space="preserve">, </w:t>
      </w:r>
      <w:r>
        <w:rPr>
          <w:b/>
          <w:bCs/>
        </w:rPr>
        <w:t>Gloria-Soria A</w:t>
      </w:r>
      <w:r>
        <w:t xml:space="preserve">, </w:t>
      </w:r>
      <w:r>
        <w:rPr>
          <w:b/>
          <w:bCs/>
        </w:rPr>
        <w:t>Hall R</w:t>
      </w:r>
      <w:r>
        <w:t xml:space="preserve">, </w:t>
      </w:r>
      <w:r>
        <w:rPr>
          <w:b/>
          <w:bCs/>
        </w:rPr>
        <w:t>Joardar VS</w:t>
      </w:r>
      <w:r>
        <w:t xml:space="preserve">, </w:t>
      </w:r>
      <w:r>
        <w:rPr>
          <w:b/>
          <w:bCs/>
        </w:rPr>
        <w:t>Jones AK</w:t>
      </w:r>
      <w:r>
        <w:t xml:space="preserve">, </w:t>
      </w:r>
      <w:r>
        <w:rPr>
          <w:b/>
          <w:bCs/>
        </w:rPr>
        <w:t>Kay RGG</w:t>
      </w:r>
      <w:r>
        <w:t xml:space="preserve">, </w:t>
      </w:r>
      <w:r>
        <w:rPr>
          <w:b/>
          <w:bCs/>
        </w:rPr>
        <w:t>Kodali VK</w:t>
      </w:r>
      <w:r>
        <w:t xml:space="preserve">, </w:t>
      </w:r>
      <w:r>
        <w:rPr>
          <w:b/>
          <w:bCs/>
        </w:rPr>
        <w:t>Lee J</w:t>
      </w:r>
      <w:r>
        <w:t xml:space="preserve">, </w:t>
      </w:r>
      <w:r>
        <w:rPr>
          <w:b/>
          <w:bCs/>
        </w:rPr>
        <w:t>Lycett GJ</w:t>
      </w:r>
      <w:r>
        <w:t xml:space="preserve">, </w:t>
      </w:r>
      <w:r>
        <w:rPr>
          <w:b/>
          <w:bCs/>
        </w:rPr>
        <w:t>Mitchell SN</w:t>
      </w:r>
      <w:r>
        <w:t xml:space="preserve">, </w:t>
      </w:r>
      <w:r>
        <w:rPr>
          <w:b/>
          <w:bCs/>
        </w:rPr>
        <w:t>Muehling J</w:t>
      </w:r>
      <w:r>
        <w:t xml:space="preserve">, </w:t>
      </w:r>
      <w:r>
        <w:rPr>
          <w:b/>
          <w:bCs/>
        </w:rPr>
        <w:t>Murphy MR</w:t>
      </w:r>
      <w:r>
        <w:t xml:space="preserve">, </w:t>
      </w:r>
      <w:r>
        <w:rPr>
          <w:b/>
          <w:bCs/>
        </w:rPr>
        <w:t>Omer AD</w:t>
      </w:r>
      <w:r>
        <w:t xml:space="preserve">, </w:t>
      </w:r>
      <w:r>
        <w:rPr>
          <w:b/>
          <w:bCs/>
        </w:rPr>
        <w:t>Partridge FA</w:t>
      </w:r>
      <w:r>
        <w:t xml:space="preserve">, </w:t>
      </w:r>
      <w:r>
        <w:rPr>
          <w:b/>
          <w:bCs/>
        </w:rPr>
        <w:t>Peluso P</w:t>
      </w:r>
      <w:r>
        <w:t xml:space="preserve">, </w:t>
      </w:r>
      <w:r>
        <w:rPr>
          <w:b/>
          <w:bCs/>
        </w:rPr>
        <w:t>Aiden AP</w:t>
      </w:r>
      <w:r>
        <w:t xml:space="preserve">, </w:t>
      </w:r>
      <w:r>
        <w:rPr>
          <w:b/>
          <w:bCs/>
        </w:rPr>
        <w:t>Ramasamy V</w:t>
      </w:r>
      <w:r>
        <w:t xml:space="preserve">, </w:t>
      </w:r>
      <w:r>
        <w:rPr>
          <w:b/>
          <w:bCs/>
        </w:rPr>
        <w:t>Rašić G</w:t>
      </w:r>
      <w:r>
        <w:t xml:space="preserve">, </w:t>
      </w:r>
      <w:r>
        <w:rPr>
          <w:b/>
          <w:bCs/>
        </w:rPr>
        <w:t>Roy S</w:t>
      </w:r>
      <w:r>
        <w:t xml:space="preserve">, </w:t>
      </w:r>
      <w:r>
        <w:rPr>
          <w:b/>
          <w:bCs/>
        </w:rPr>
        <w:t>Saavedra-Rodriguez K</w:t>
      </w:r>
      <w:r>
        <w:t xml:space="preserve">, </w:t>
      </w:r>
      <w:r>
        <w:rPr>
          <w:b/>
          <w:bCs/>
        </w:rPr>
        <w:t>Sharan S</w:t>
      </w:r>
      <w:r>
        <w:t xml:space="preserve">, </w:t>
      </w:r>
      <w:r>
        <w:rPr>
          <w:b/>
          <w:bCs/>
        </w:rPr>
        <w:t>Sharma A</w:t>
      </w:r>
      <w:r>
        <w:t xml:space="preserve">, </w:t>
      </w:r>
      <w:r>
        <w:rPr>
          <w:b/>
          <w:bCs/>
        </w:rPr>
        <w:t>Smith ML</w:t>
      </w:r>
      <w:r>
        <w:t xml:space="preserve">, </w:t>
      </w:r>
      <w:r>
        <w:rPr>
          <w:b/>
          <w:bCs/>
        </w:rPr>
        <w:t>Turner J</w:t>
      </w:r>
      <w:r>
        <w:t xml:space="preserve">, </w:t>
      </w:r>
      <w:r>
        <w:rPr>
          <w:b/>
          <w:bCs/>
        </w:rPr>
        <w:t>Weakley AM</w:t>
      </w:r>
      <w:r>
        <w:t xml:space="preserve">, </w:t>
      </w:r>
      <w:r>
        <w:rPr>
          <w:b/>
          <w:bCs/>
        </w:rPr>
        <w:t>Zhao Z</w:t>
      </w:r>
      <w:r>
        <w:t xml:space="preserve">, </w:t>
      </w:r>
      <w:r>
        <w:rPr>
          <w:b/>
          <w:bCs/>
        </w:rPr>
        <w:t>Akbari OS</w:t>
      </w:r>
      <w:r>
        <w:t xml:space="preserve">, </w:t>
      </w:r>
      <w:r>
        <w:rPr>
          <w:b/>
          <w:bCs/>
        </w:rPr>
        <w:t>Black WC</w:t>
      </w:r>
      <w:r>
        <w:t xml:space="preserve">, </w:t>
      </w:r>
      <w:r>
        <w:rPr>
          <w:b/>
          <w:bCs/>
        </w:rPr>
        <w:t>Cao H</w:t>
      </w:r>
      <w:r>
        <w:t xml:space="preserve">, </w:t>
      </w:r>
      <w:r>
        <w:rPr>
          <w:b/>
          <w:bCs/>
        </w:rPr>
        <w:t>Darby AC</w:t>
      </w:r>
      <w:r>
        <w:t xml:space="preserve">, </w:t>
      </w:r>
      <w:r>
        <w:rPr>
          <w:b/>
          <w:bCs/>
        </w:rPr>
        <w:t>Hill CA</w:t>
      </w:r>
      <w:r>
        <w:t xml:space="preserve">, </w:t>
      </w:r>
      <w:r>
        <w:rPr>
          <w:b/>
          <w:bCs/>
        </w:rPr>
        <w:t>Johnston JS</w:t>
      </w:r>
      <w:r>
        <w:t xml:space="preserve">, </w:t>
      </w:r>
      <w:r>
        <w:rPr>
          <w:b/>
          <w:bCs/>
        </w:rPr>
        <w:t>Murphy TD</w:t>
      </w:r>
      <w:r>
        <w:t xml:space="preserve">, </w:t>
      </w:r>
      <w:r>
        <w:rPr>
          <w:b/>
          <w:bCs/>
        </w:rPr>
        <w:t>Raikhel AS</w:t>
      </w:r>
      <w:r>
        <w:t xml:space="preserve">, </w:t>
      </w:r>
      <w:r>
        <w:rPr>
          <w:b/>
          <w:bCs/>
        </w:rPr>
        <w:t>Sattelle DB</w:t>
      </w:r>
      <w:r>
        <w:t xml:space="preserve">, </w:t>
      </w:r>
      <w:r>
        <w:rPr>
          <w:b/>
          <w:bCs/>
        </w:rPr>
        <w:t>Sharakhov IV</w:t>
      </w:r>
      <w:r>
        <w:t xml:space="preserve">, </w:t>
      </w:r>
      <w:r>
        <w:rPr>
          <w:b/>
          <w:bCs/>
        </w:rPr>
        <w:t>White BJ</w:t>
      </w:r>
      <w:r>
        <w:t xml:space="preserve">, </w:t>
      </w:r>
      <w:r>
        <w:rPr>
          <w:b/>
          <w:bCs/>
        </w:rPr>
        <w:t>Zhao L</w:t>
      </w:r>
      <w:r>
        <w:t xml:space="preserve">, </w:t>
      </w:r>
      <w:r>
        <w:rPr>
          <w:b/>
          <w:bCs/>
        </w:rPr>
        <w:t>Aiden EL</w:t>
      </w:r>
      <w:r>
        <w:t xml:space="preserve">, </w:t>
      </w:r>
      <w:r>
        <w:rPr>
          <w:b/>
          <w:bCs/>
        </w:rPr>
        <w:t>Mann RS</w:t>
      </w:r>
      <w:r>
        <w:t xml:space="preserve">, </w:t>
      </w:r>
      <w:r>
        <w:rPr>
          <w:b/>
          <w:bCs/>
        </w:rPr>
        <w:t>Lambrechts L</w:t>
      </w:r>
      <w:r>
        <w:t xml:space="preserve">, </w:t>
      </w:r>
      <w:r>
        <w:rPr>
          <w:b/>
          <w:bCs/>
        </w:rPr>
        <w:t>Powell JR</w:t>
      </w:r>
      <w:r>
        <w:t xml:space="preserve">, </w:t>
      </w:r>
      <w:r>
        <w:rPr>
          <w:b/>
          <w:bCs/>
        </w:rPr>
        <w:t>Sharakhova MV</w:t>
      </w:r>
      <w:r>
        <w:t xml:space="preserve">, </w:t>
      </w:r>
      <w:r>
        <w:rPr>
          <w:b/>
          <w:bCs/>
        </w:rPr>
        <w:t>Tu Z</w:t>
      </w:r>
      <w:r>
        <w:t xml:space="preserve">, </w:t>
      </w:r>
      <w:r>
        <w:rPr>
          <w:b/>
          <w:bCs/>
        </w:rPr>
        <w:t>Robertson HM</w:t>
      </w:r>
      <w:r>
        <w:t xml:space="preserve">, </w:t>
      </w:r>
      <w:r>
        <w:rPr>
          <w:b/>
          <w:bCs/>
        </w:rPr>
        <w:t>McBride CS</w:t>
      </w:r>
      <w:r>
        <w:t xml:space="preserve">, </w:t>
      </w:r>
      <w:r>
        <w:rPr>
          <w:b/>
          <w:bCs/>
        </w:rPr>
        <w:t>Hastie AR</w:t>
      </w:r>
      <w:r>
        <w:t xml:space="preserve">, </w:t>
      </w:r>
      <w:r>
        <w:rPr>
          <w:b/>
          <w:bCs/>
        </w:rPr>
        <w:t>Korlach J</w:t>
      </w:r>
      <w:r>
        <w:t xml:space="preserve">, </w:t>
      </w:r>
      <w:r>
        <w:rPr>
          <w:b/>
          <w:bCs/>
        </w:rPr>
        <w:t>Neafsey DE</w:t>
      </w:r>
      <w:r>
        <w:t xml:space="preserve">, </w:t>
      </w:r>
      <w:r>
        <w:rPr>
          <w:b/>
          <w:bCs/>
        </w:rPr>
        <w:t>Phillippy AM</w:t>
      </w:r>
      <w:r>
        <w:t xml:space="preserve">, </w:t>
      </w:r>
      <w:r>
        <w:rPr>
          <w:b/>
          <w:bCs/>
        </w:rPr>
        <w:t>Vosshall LB</w:t>
      </w:r>
      <w:r>
        <w:t xml:space="preserve">. 2018. Improved reference genome of aedes aegypti informs arbovirus vector control. Nature </w:t>
      </w:r>
      <w:r>
        <w:rPr>
          <w:b/>
          <w:bCs/>
        </w:rPr>
        <w:t>563</w:t>
      </w:r>
      <w:r>
        <w:t>:501–507. doi:</w:t>
      </w:r>
      <w:hyperlink r:id="rId63">
        <w:r w:rsidR="00B37F15">
          <w:rPr>
            <w:rStyle w:val="Hyperlink"/>
          </w:rPr>
          <w:t>10.1038/s41586-018-0692-z</w:t>
        </w:r>
      </w:hyperlink>
      <w:r>
        <w:t>.</w:t>
      </w:r>
    </w:p>
    <w:p w14:paraId="47601B6C" w14:textId="77777777" w:rsidR="00B37F15" w:rsidRDefault="00000000">
      <w:pPr>
        <w:pStyle w:val="Bibliography"/>
      </w:pPr>
      <w:bookmarkStart w:id="69" w:name="ref-Langmead_2012"/>
      <w:bookmarkEnd w:id="68"/>
      <w:r>
        <w:t xml:space="preserve">45. </w:t>
      </w:r>
      <w:r>
        <w:tab/>
      </w:r>
      <w:r>
        <w:rPr>
          <w:b/>
          <w:bCs/>
        </w:rPr>
        <w:t>Langmead B</w:t>
      </w:r>
      <w:r>
        <w:t xml:space="preserve">, </w:t>
      </w:r>
      <w:r>
        <w:rPr>
          <w:b/>
          <w:bCs/>
        </w:rPr>
        <w:t>Salzberg SL</w:t>
      </w:r>
      <w:r>
        <w:t xml:space="preserve">. 2012. Fast gapped-read alignment with bowtie 2. Nature Methods </w:t>
      </w:r>
      <w:r>
        <w:rPr>
          <w:b/>
          <w:bCs/>
        </w:rPr>
        <w:t>9</w:t>
      </w:r>
      <w:r>
        <w:t>:357–359. doi:</w:t>
      </w:r>
      <w:hyperlink r:id="rId64">
        <w:r w:rsidR="00B37F15">
          <w:rPr>
            <w:rStyle w:val="Hyperlink"/>
          </w:rPr>
          <w:t>10.1038/nmeth.1923</w:t>
        </w:r>
      </w:hyperlink>
      <w:r>
        <w:t>.</w:t>
      </w:r>
    </w:p>
    <w:p w14:paraId="4D08CA23" w14:textId="77777777" w:rsidR="00B37F15" w:rsidRDefault="00000000">
      <w:pPr>
        <w:pStyle w:val="Bibliography"/>
      </w:pPr>
      <w:bookmarkStart w:id="70" w:name="ref-Prjibelski_2020"/>
      <w:bookmarkEnd w:id="69"/>
      <w:r>
        <w:t xml:space="preserve">46. </w:t>
      </w:r>
      <w:r>
        <w:tab/>
      </w:r>
      <w:r>
        <w:rPr>
          <w:b/>
          <w:bCs/>
        </w:rPr>
        <w:t>Prjibelski A</w:t>
      </w:r>
      <w:r>
        <w:t xml:space="preserve">, </w:t>
      </w:r>
      <w:r>
        <w:rPr>
          <w:b/>
          <w:bCs/>
        </w:rPr>
        <w:t>Antipov D</w:t>
      </w:r>
      <w:r>
        <w:t xml:space="preserve">, </w:t>
      </w:r>
      <w:r>
        <w:rPr>
          <w:b/>
          <w:bCs/>
        </w:rPr>
        <w:t>Meleshko D</w:t>
      </w:r>
      <w:r>
        <w:t xml:space="preserve">, </w:t>
      </w:r>
      <w:r>
        <w:rPr>
          <w:b/>
          <w:bCs/>
        </w:rPr>
        <w:t>Lapidus A</w:t>
      </w:r>
      <w:r>
        <w:t xml:space="preserve">, </w:t>
      </w:r>
      <w:r>
        <w:rPr>
          <w:b/>
          <w:bCs/>
        </w:rPr>
        <w:t>Korobeynikov A</w:t>
      </w:r>
      <w:r>
        <w:t xml:space="preserve">. 2020. Using SPAdes de novo assembler. Current Protocols in Bioinformatics </w:t>
      </w:r>
      <w:r>
        <w:rPr>
          <w:b/>
          <w:bCs/>
        </w:rPr>
        <w:t>70</w:t>
      </w:r>
      <w:r>
        <w:t>. doi:</w:t>
      </w:r>
      <w:hyperlink r:id="rId65">
        <w:r w:rsidR="00B37F15">
          <w:rPr>
            <w:rStyle w:val="Hyperlink"/>
          </w:rPr>
          <w:t>10.1002/cpbi.102</w:t>
        </w:r>
      </w:hyperlink>
      <w:r>
        <w:t>.</w:t>
      </w:r>
    </w:p>
    <w:p w14:paraId="653F7AA0" w14:textId="77777777" w:rsidR="00B37F15" w:rsidRDefault="00000000">
      <w:pPr>
        <w:pStyle w:val="Bibliography"/>
      </w:pPr>
      <w:bookmarkStart w:id="71" w:name="ref-Camacho_2009"/>
      <w:bookmarkEnd w:id="70"/>
      <w:r>
        <w:t xml:space="preserve">47. </w:t>
      </w:r>
      <w:r>
        <w:tab/>
      </w:r>
      <w:r>
        <w:rPr>
          <w:b/>
          <w:bCs/>
        </w:rPr>
        <w:t>Camacho C</w:t>
      </w:r>
      <w:r>
        <w:t xml:space="preserve">, </w:t>
      </w:r>
      <w:r>
        <w:rPr>
          <w:b/>
          <w:bCs/>
        </w:rPr>
        <w:t>Coulouris G</w:t>
      </w:r>
      <w:r>
        <w:t xml:space="preserve">, </w:t>
      </w:r>
      <w:r>
        <w:rPr>
          <w:b/>
          <w:bCs/>
        </w:rPr>
        <w:t>Avagyan V</w:t>
      </w:r>
      <w:r>
        <w:t xml:space="preserve">, </w:t>
      </w:r>
      <w:r>
        <w:rPr>
          <w:b/>
          <w:bCs/>
        </w:rPr>
        <w:t>Ma N</w:t>
      </w:r>
      <w:r>
        <w:t xml:space="preserve">, </w:t>
      </w:r>
      <w:r>
        <w:rPr>
          <w:b/>
          <w:bCs/>
        </w:rPr>
        <w:t>Papadopoulos J</w:t>
      </w:r>
      <w:r>
        <w:t xml:space="preserve">, </w:t>
      </w:r>
      <w:r>
        <w:rPr>
          <w:b/>
          <w:bCs/>
        </w:rPr>
        <w:t>Bealer K</w:t>
      </w:r>
      <w:r>
        <w:t xml:space="preserve">, </w:t>
      </w:r>
      <w:r>
        <w:rPr>
          <w:b/>
          <w:bCs/>
        </w:rPr>
        <w:t>Madden TL</w:t>
      </w:r>
      <w:r>
        <w:t xml:space="preserve">. 2009. BLAST+: Architecture and applications. BMC Bioinformatics </w:t>
      </w:r>
      <w:r>
        <w:rPr>
          <w:b/>
          <w:bCs/>
        </w:rPr>
        <w:t>10</w:t>
      </w:r>
      <w:r>
        <w:t>. doi:</w:t>
      </w:r>
      <w:hyperlink r:id="rId66">
        <w:r w:rsidR="00B37F15">
          <w:rPr>
            <w:rStyle w:val="Hyperlink"/>
          </w:rPr>
          <w:t>10.1186/1471-2105-10-421</w:t>
        </w:r>
      </w:hyperlink>
      <w:r>
        <w:t>.</w:t>
      </w:r>
    </w:p>
    <w:p w14:paraId="4F504B21" w14:textId="77777777" w:rsidR="00B37F15" w:rsidRDefault="00000000">
      <w:pPr>
        <w:pStyle w:val="Bibliography"/>
      </w:pPr>
      <w:bookmarkStart w:id="72" w:name="ref-Allaire_2026"/>
      <w:bookmarkEnd w:id="71"/>
      <w:r>
        <w:t xml:space="preserve">48. </w:t>
      </w:r>
      <w:r>
        <w:tab/>
      </w:r>
      <w:r>
        <w:rPr>
          <w:b/>
          <w:bCs/>
        </w:rPr>
        <w:t>Allaire JJ</w:t>
      </w:r>
      <w:r>
        <w:t xml:space="preserve">, </w:t>
      </w:r>
      <w:r>
        <w:rPr>
          <w:b/>
          <w:bCs/>
        </w:rPr>
        <w:t>Teague C</w:t>
      </w:r>
      <w:r>
        <w:t xml:space="preserve">, </w:t>
      </w:r>
      <w:r>
        <w:rPr>
          <w:b/>
          <w:bCs/>
        </w:rPr>
        <w:t>Scheidegger C</w:t>
      </w:r>
      <w:r>
        <w:t xml:space="preserve">, </w:t>
      </w:r>
      <w:r>
        <w:rPr>
          <w:b/>
          <w:bCs/>
        </w:rPr>
        <w:t>Xie Y</w:t>
      </w:r>
      <w:r>
        <w:t xml:space="preserve">, </w:t>
      </w:r>
      <w:r>
        <w:rPr>
          <w:b/>
          <w:bCs/>
        </w:rPr>
        <w:t>Dervieux C</w:t>
      </w:r>
      <w:r>
        <w:t xml:space="preserve">, </w:t>
      </w:r>
      <w:r>
        <w:rPr>
          <w:b/>
          <w:bCs/>
        </w:rPr>
        <w:t>Woodhull G</w:t>
      </w:r>
      <w:r>
        <w:t xml:space="preserve">. 2026. </w:t>
      </w:r>
      <w:hyperlink r:id="rId67">
        <w:r w:rsidR="00B37F15">
          <w:rPr>
            <w:rStyle w:val="Hyperlink"/>
          </w:rPr>
          <w:t>Quarto</w:t>
        </w:r>
      </w:hyperlink>
      <w:r>
        <w:t>.</w:t>
      </w:r>
    </w:p>
    <w:p w14:paraId="565F0641" w14:textId="77777777" w:rsidR="00B37F15" w:rsidRDefault="00000000">
      <w:pPr>
        <w:pStyle w:val="Bibliography"/>
      </w:pPr>
      <w:bookmarkStart w:id="73" w:name="ref-Palatini_2017"/>
      <w:bookmarkEnd w:id="72"/>
      <w:r>
        <w:t xml:space="preserve">49. </w:t>
      </w:r>
      <w:r>
        <w:tab/>
      </w:r>
      <w:r>
        <w:rPr>
          <w:b/>
          <w:bCs/>
        </w:rPr>
        <w:t>Palatini U</w:t>
      </w:r>
      <w:r>
        <w:t xml:space="preserve">, </w:t>
      </w:r>
      <w:r>
        <w:rPr>
          <w:b/>
          <w:bCs/>
        </w:rPr>
        <w:t>Miesen P</w:t>
      </w:r>
      <w:r>
        <w:t xml:space="preserve">, </w:t>
      </w:r>
      <w:r>
        <w:rPr>
          <w:b/>
          <w:bCs/>
        </w:rPr>
        <w:t>Carballar-Lejarazu R</w:t>
      </w:r>
      <w:r>
        <w:t xml:space="preserve">, </w:t>
      </w:r>
      <w:r>
        <w:rPr>
          <w:b/>
          <w:bCs/>
        </w:rPr>
        <w:t>Ometto L</w:t>
      </w:r>
      <w:r>
        <w:t xml:space="preserve">, </w:t>
      </w:r>
      <w:r>
        <w:rPr>
          <w:b/>
          <w:bCs/>
        </w:rPr>
        <w:t>Rizzo E</w:t>
      </w:r>
      <w:r>
        <w:t xml:space="preserve">, </w:t>
      </w:r>
      <w:r>
        <w:rPr>
          <w:b/>
          <w:bCs/>
        </w:rPr>
        <w:t>Tu Z</w:t>
      </w:r>
      <w:r>
        <w:t xml:space="preserve">, </w:t>
      </w:r>
      <w:r>
        <w:rPr>
          <w:b/>
          <w:bCs/>
        </w:rPr>
        <w:t>Rij RP van</w:t>
      </w:r>
      <w:r>
        <w:t xml:space="preserve">, </w:t>
      </w:r>
      <w:r>
        <w:rPr>
          <w:b/>
          <w:bCs/>
        </w:rPr>
        <w:t>Bonizzoni M</w:t>
      </w:r>
      <w:r>
        <w:t xml:space="preserve">. 2017. Comparative genomics shows that viral integrations are abundant and express piRNAs in the arboviral vectors aedes aegypti and aedes albopictus. BMC Genomics </w:t>
      </w:r>
      <w:r>
        <w:rPr>
          <w:b/>
          <w:bCs/>
        </w:rPr>
        <w:t>18</w:t>
      </w:r>
      <w:r>
        <w:t>. doi:</w:t>
      </w:r>
      <w:hyperlink r:id="rId68">
        <w:r w:rsidR="00B37F15">
          <w:rPr>
            <w:rStyle w:val="Hyperlink"/>
          </w:rPr>
          <w:t>10.1186/s12864-017-3903-3</w:t>
        </w:r>
      </w:hyperlink>
      <w:r>
        <w:t>.</w:t>
      </w:r>
    </w:p>
    <w:p w14:paraId="167FE094" w14:textId="77777777" w:rsidR="00B37F15" w:rsidRDefault="00000000">
      <w:pPr>
        <w:pStyle w:val="Bibliography"/>
      </w:pPr>
      <w:bookmarkStart w:id="74" w:name="ref-Whitfield_2017"/>
      <w:bookmarkEnd w:id="73"/>
      <w:r>
        <w:t xml:space="preserve">50. </w:t>
      </w:r>
      <w:r>
        <w:tab/>
      </w:r>
      <w:r>
        <w:rPr>
          <w:b/>
          <w:bCs/>
        </w:rPr>
        <w:t>Whitfield ZJ</w:t>
      </w:r>
      <w:r>
        <w:t xml:space="preserve">, </w:t>
      </w:r>
      <w:r>
        <w:rPr>
          <w:b/>
          <w:bCs/>
        </w:rPr>
        <w:t>Dolan PT</w:t>
      </w:r>
      <w:r>
        <w:t xml:space="preserve">, </w:t>
      </w:r>
      <w:r>
        <w:rPr>
          <w:b/>
          <w:bCs/>
        </w:rPr>
        <w:t>Kunitomi M</w:t>
      </w:r>
      <w:r>
        <w:t xml:space="preserve">, </w:t>
      </w:r>
      <w:r>
        <w:rPr>
          <w:b/>
          <w:bCs/>
        </w:rPr>
        <w:t>Tassetto M</w:t>
      </w:r>
      <w:r>
        <w:t xml:space="preserve">, </w:t>
      </w:r>
      <w:r>
        <w:rPr>
          <w:b/>
          <w:bCs/>
        </w:rPr>
        <w:t>Seetin MG</w:t>
      </w:r>
      <w:r>
        <w:t xml:space="preserve">, </w:t>
      </w:r>
      <w:r>
        <w:rPr>
          <w:b/>
          <w:bCs/>
        </w:rPr>
        <w:t>Oh S</w:t>
      </w:r>
      <w:r>
        <w:t xml:space="preserve">, </w:t>
      </w:r>
      <w:r>
        <w:rPr>
          <w:b/>
          <w:bCs/>
        </w:rPr>
        <w:t>Heiner C</w:t>
      </w:r>
      <w:r>
        <w:t xml:space="preserve">, </w:t>
      </w:r>
      <w:r>
        <w:rPr>
          <w:b/>
          <w:bCs/>
        </w:rPr>
        <w:t>Paxinos E</w:t>
      </w:r>
      <w:r>
        <w:t xml:space="preserve">, </w:t>
      </w:r>
      <w:r>
        <w:rPr>
          <w:b/>
          <w:bCs/>
        </w:rPr>
        <w:t>Andino R</w:t>
      </w:r>
      <w:r>
        <w:t xml:space="preserve">. 2017. The diversity, structure, and function of heritable adaptive immunity sequences in the aedes aegypti genome. Current Biology </w:t>
      </w:r>
      <w:r>
        <w:rPr>
          <w:b/>
          <w:bCs/>
        </w:rPr>
        <w:t>27</w:t>
      </w:r>
      <w:r>
        <w:t>:3511–3519.e7. doi:</w:t>
      </w:r>
      <w:hyperlink r:id="rId69">
        <w:r w:rsidR="00B37F15">
          <w:rPr>
            <w:rStyle w:val="Hyperlink"/>
          </w:rPr>
          <w:t>10.1016/j.cub.2017.09.067</w:t>
        </w:r>
      </w:hyperlink>
      <w:r>
        <w:t>.</w:t>
      </w:r>
    </w:p>
    <w:p w14:paraId="42D755FF" w14:textId="77777777" w:rsidR="00B37F15" w:rsidRDefault="00000000">
      <w:pPr>
        <w:pStyle w:val="Bibliography"/>
      </w:pPr>
      <w:bookmarkStart w:id="75" w:name="ref-Amarasinghe_2019"/>
      <w:bookmarkEnd w:id="74"/>
      <w:r>
        <w:t xml:space="preserve">51. </w:t>
      </w:r>
      <w:r>
        <w:tab/>
      </w:r>
      <w:r>
        <w:rPr>
          <w:b/>
          <w:bCs/>
        </w:rPr>
        <w:t>Amarasinghe GK</w:t>
      </w:r>
      <w:r>
        <w:t xml:space="preserve">, </w:t>
      </w:r>
      <w:r>
        <w:rPr>
          <w:b/>
          <w:bCs/>
        </w:rPr>
        <w:t>Ayllón MA</w:t>
      </w:r>
      <w:r>
        <w:t xml:space="preserve">, </w:t>
      </w:r>
      <w:r>
        <w:rPr>
          <w:b/>
          <w:bCs/>
        </w:rPr>
        <w:t>Bào Y</w:t>
      </w:r>
      <w:r>
        <w:t xml:space="preserve">, </w:t>
      </w:r>
      <w:r>
        <w:rPr>
          <w:b/>
          <w:bCs/>
        </w:rPr>
        <w:t>Basler CF</w:t>
      </w:r>
      <w:r>
        <w:t xml:space="preserve">, </w:t>
      </w:r>
      <w:r>
        <w:rPr>
          <w:b/>
          <w:bCs/>
        </w:rPr>
        <w:t>Bavari S</w:t>
      </w:r>
      <w:r>
        <w:t xml:space="preserve">, </w:t>
      </w:r>
      <w:r>
        <w:rPr>
          <w:b/>
          <w:bCs/>
        </w:rPr>
        <w:t>Blasdell KR</w:t>
      </w:r>
      <w:r>
        <w:t xml:space="preserve">, </w:t>
      </w:r>
      <w:r>
        <w:rPr>
          <w:b/>
          <w:bCs/>
        </w:rPr>
        <w:t>Briese T</w:t>
      </w:r>
      <w:r>
        <w:t xml:space="preserve">, </w:t>
      </w:r>
      <w:r>
        <w:rPr>
          <w:b/>
          <w:bCs/>
        </w:rPr>
        <w:t>Brown PA</w:t>
      </w:r>
      <w:r>
        <w:t xml:space="preserve">, </w:t>
      </w:r>
      <w:r>
        <w:rPr>
          <w:b/>
          <w:bCs/>
        </w:rPr>
        <w:t>Bukreyev A</w:t>
      </w:r>
      <w:r>
        <w:t xml:space="preserve">, </w:t>
      </w:r>
      <w:r>
        <w:rPr>
          <w:b/>
          <w:bCs/>
        </w:rPr>
        <w:t>Balkema-Buschmann A</w:t>
      </w:r>
      <w:r>
        <w:t xml:space="preserve">, </w:t>
      </w:r>
      <w:r>
        <w:rPr>
          <w:b/>
          <w:bCs/>
        </w:rPr>
        <w:t>Buchholz UJ</w:t>
      </w:r>
      <w:r>
        <w:t xml:space="preserve">, </w:t>
      </w:r>
      <w:r>
        <w:rPr>
          <w:b/>
          <w:bCs/>
        </w:rPr>
        <w:t>Chabi-Jesus C</w:t>
      </w:r>
      <w:r>
        <w:t xml:space="preserve">, </w:t>
      </w:r>
      <w:r>
        <w:rPr>
          <w:b/>
          <w:bCs/>
        </w:rPr>
        <w:t>Chandran K</w:t>
      </w:r>
      <w:r>
        <w:t xml:space="preserve">, </w:t>
      </w:r>
      <w:r>
        <w:rPr>
          <w:b/>
          <w:bCs/>
        </w:rPr>
        <w:t>Chiapponi C</w:t>
      </w:r>
      <w:r>
        <w:t xml:space="preserve">, </w:t>
      </w:r>
      <w:r>
        <w:rPr>
          <w:b/>
          <w:bCs/>
        </w:rPr>
        <w:t>Crozier I</w:t>
      </w:r>
      <w:r>
        <w:t xml:space="preserve">, </w:t>
      </w:r>
      <w:r>
        <w:rPr>
          <w:b/>
          <w:bCs/>
        </w:rPr>
        <w:t>Swart RL de</w:t>
      </w:r>
      <w:r>
        <w:t xml:space="preserve">, </w:t>
      </w:r>
      <w:r>
        <w:rPr>
          <w:b/>
          <w:bCs/>
        </w:rPr>
        <w:t>Dietzgen RG</w:t>
      </w:r>
      <w:r>
        <w:t xml:space="preserve">, </w:t>
      </w:r>
      <w:r>
        <w:rPr>
          <w:b/>
          <w:bCs/>
        </w:rPr>
        <w:t>Dolnik O</w:t>
      </w:r>
      <w:r>
        <w:t xml:space="preserve">, </w:t>
      </w:r>
      <w:r>
        <w:rPr>
          <w:b/>
          <w:bCs/>
        </w:rPr>
        <w:t>Drexler JF</w:t>
      </w:r>
      <w:r>
        <w:t xml:space="preserve">, </w:t>
      </w:r>
      <w:r>
        <w:rPr>
          <w:b/>
          <w:bCs/>
        </w:rPr>
        <w:t>Dürrwald R</w:t>
      </w:r>
      <w:r>
        <w:t xml:space="preserve">, </w:t>
      </w:r>
      <w:r>
        <w:rPr>
          <w:b/>
          <w:bCs/>
        </w:rPr>
        <w:t>Dundon WG</w:t>
      </w:r>
      <w:r>
        <w:t xml:space="preserve">, </w:t>
      </w:r>
      <w:r>
        <w:rPr>
          <w:b/>
          <w:bCs/>
        </w:rPr>
        <w:t>Duprex WP</w:t>
      </w:r>
      <w:r>
        <w:t xml:space="preserve">, </w:t>
      </w:r>
      <w:r>
        <w:rPr>
          <w:b/>
          <w:bCs/>
        </w:rPr>
        <w:t>Dye JM</w:t>
      </w:r>
      <w:r>
        <w:t xml:space="preserve">, </w:t>
      </w:r>
      <w:r>
        <w:rPr>
          <w:b/>
          <w:bCs/>
        </w:rPr>
        <w:t>Easton AJ</w:t>
      </w:r>
      <w:r>
        <w:t xml:space="preserve">, </w:t>
      </w:r>
      <w:r>
        <w:rPr>
          <w:b/>
          <w:bCs/>
        </w:rPr>
        <w:t>Fooks AR</w:t>
      </w:r>
      <w:r>
        <w:t xml:space="preserve">, </w:t>
      </w:r>
      <w:r>
        <w:rPr>
          <w:b/>
          <w:bCs/>
        </w:rPr>
        <w:t>Formenty PBH</w:t>
      </w:r>
      <w:r>
        <w:t xml:space="preserve">, </w:t>
      </w:r>
      <w:r>
        <w:rPr>
          <w:b/>
          <w:bCs/>
        </w:rPr>
        <w:t>Fouchier RAM</w:t>
      </w:r>
      <w:r>
        <w:t xml:space="preserve">, </w:t>
      </w:r>
      <w:r>
        <w:rPr>
          <w:b/>
          <w:bCs/>
        </w:rPr>
        <w:lastRenderedPageBreak/>
        <w:t>Freitas-Astúa J</w:t>
      </w:r>
      <w:r>
        <w:t xml:space="preserve">, </w:t>
      </w:r>
      <w:r>
        <w:rPr>
          <w:b/>
          <w:bCs/>
        </w:rPr>
        <w:t>Griffiths A</w:t>
      </w:r>
      <w:r>
        <w:t xml:space="preserve">, </w:t>
      </w:r>
      <w:r>
        <w:rPr>
          <w:b/>
          <w:bCs/>
        </w:rPr>
        <w:t>Hewson R</w:t>
      </w:r>
      <w:r>
        <w:t xml:space="preserve">, </w:t>
      </w:r>
      <w:r>
        <w:rPr>
          <w:b/>
          <w:bCs/>
        </w:rPr>
        <w:t>Horie M</w:t>
      </w:r>
      <w:r>
        <w:t xml:space="preserve">, </w:t>
      </w:r>
      <w:r>
        <w:rPr>
          <w:b/>
          <w:bCs/>
        </w:rPr>
        <w:t>Hyndman TH</w:t>
      </w:r>
      <w:r>
        <w:t xml:space="preserve">, </w:t>
      </w:r>
      <w:r>
        <w:rPr>
          <w:b/>
          <w:bCs/>
        </w:rPr>
        <w:t>Jiāng D</w:t>
      </w:r>
      <w:r>
        <w:t xml:space="preserve">, </w:t>
      </w:r>
      <w:r>
        <w:rPr>
          <w:b/>
          <w:bCs/>
        </w:rPr>
        <w:t>Kitajima EW</w:t>
      </w:r>
      <w:r>
        <w:t xml:space="preserve">, </w:t>
      </w:r>
      <w:r>
        <w:rPr>
          <w:b/>
          <w:bCs/>
        </w:rPr>
        <w:t>Kobinger GP</w:t>
      </w:r>
      <w:r>
        <w:t xml:space="preserve">, </w:t>
      </w:r>
      <w:r>
        <w:rPr>
          <w:b/>
          <w:bCs/>
        </w:rPr>
        <w:t>Kondō H</w:t>
      </w:r>
      <w:r>
        <w:t xml:space="preserve">, </w:t>
      </w:r>
      <w:r>
        <w:rPr>
          <w:b/>
          <w:bCs/>
        </w:rPr>
        <w:t>Kurath G</w:t>
      </w:r>
      <w:r>
        <w:t xml:space="preserve">, </w:t>
      </w:r>
      <w:r>
        <w:rPr>
          <w:b/>
          <w:bCs/>
        </w:rPr>
        <w:t>Kuzmin IV</w:t>
      </w:r>
      <w:r>
        <w:t xml:space="preserve">, </w:t>
      </w:r>
      <w:r>
        <w:rPr>
          <w:b/>
          <w:bCs/>
        </w:rPr>
        <w:t>Lamb RA</w:t>
      </w:r>
      <w:r>
        <w:t xml:space="preserve">, </w:t>
      </w:r>
      <w:r>
        <w:rPr>
          <w:b/>
          <w:bCs/>
        </w:rPr>
        <w:t>Lavazza A</w:t>
      </w:r>
      <w:r>
        <w:t xml:space="preserve">, </w:t>
      </w:r>
      <w:r>
        <w:rPr>
          <w:b/>
          <w:bCs/>
        </w:rPr>
        <w:t>Lee B</w:t>
      </w:r>
      <w:r>
        <w:t xml:space="preserve">, </w:t>
      </w:r>
      <w:r>
        <w:rPr>
          <w:b/>
          <w:bCs/>
        </w:rPr>
        <w:t>Lelli D</w:t>
      </w:r>
      <w:r>
        <w:t xml:space="preserve">, </w:t>
      </w:r>
      <w:r>
        <w:rPr>
          <w:b/>
          <w:bCs/>
        </w:rPr>
        <w:t>Leroy EM</w:t>
      </w:r>
      <w:r>
        <w:t xml:space="preserve">, </w:t>
      </w:r>
      <w:r>
        <w:rPr>
          <w:b/>
          <w:bCs/>
        </w:rPr>
        <w:t>Lǐ J</w:t>
      </w:r>
      <w:r>
        <w:t xml:space="preserve">, </w:t>
      </w:r>
      <w:r>
        <w:rPr>
          <w:b/>
          <w:bCs/>
        </w:rPr>
        <w:t>Maes P</w:t>
      </w:r>
      <w:r>
        <w:t xml:space="preserve">, </w:t>
      </w:r>
      <w:r>
        <w:rPr>
          <w:b/>
          <w:bCs/>
        </w:rPr>
        <w:t>Marzano S-YL</w:t>
      </w:r>
      <w:r>
        <w:t xml:space="preserve">, </w:t>
      </w:r>
      <w:r>
        <w:rPr>
          <w:b/>
          <w:bCs/>
        </w:rPr>
        <w:t>Moreno A</w:t>
      </w:r>
      <w:r>
        <w:t xml:space="preserve">, </w:t>
      </w:r>
      <w:r>
        <w:rPr>
          <w:b/>
          <w:bCs/>
        </w:rPr>
        <w:t>Mühlberger E</w:t>
      </w:r>
      <w:r>
        <w:t xml:space="preserve">, </w:t>
      </w:r>
      <w:r>
        <w:rPr>
          <w:b/>
          <w:bCs/>
        </w:rPr>
        <w:t>Netesov SV</w:t>
      </w:r>
      <w:r>
        <w:t xml:space="preserve">, </w:t>
      </w:r>
      <w:r>
        <w:rPr>
          <w:b/>
          <w:bCs/>
        </w:rPr>
        <w:t>Nowotny N</w:t>
      </w:r>
      <w:r>
        <w:t xml:space="preserve">, </w:t>
      </w:r>
      <w:r>
        <w:rPr>
          <w:b/>
          <w:bCs/>
        </w:rPr>
        <w:t>Nylund A</w:t>
      </w:r>
      <w:r>
        <w:t xml:space="preserve">, </w:t>
      </w:r>
      <w:r>
        <w:rPr>
          <w:b/>
          <w:bCs/>
        </w:rPr>
        <w:t>Økland AL</w:t>
      </w:r>
      <w:r>
        <w:t xml:space="preserve">, </w:t>
      </w:r>
      <w:r>
        <w:rPr>
          <w:b/>
          <w:bCs/>
        </w:rPr>
        <w:t>Palacios G</w:t>
      </w:r>
      <w:r>
        <w:t xml:space="preserve">, </w:t>
      </w:r>
      <w:r>
        <w:rPr>
          <w:b/>
          <w:bCs/>
        </w:rPr>
        <w:t>Pályi B</w:t>
      </w:r>
      <w:r>
        <w:t xml:space="preserve">, </w:t>
      </w:r>
      <w:r>
        <w:rPr>
          <w:b/>
          <w:bCs/>
        </w:rPr>
        <w:t>Pawęska JT</w:t>
      </w:r>
      <w:r>
        <w:t xml:space="preserve">, </w:t>
      </w:r>
      <w:r>
        <w:rPr>
          <w:b/>
          <w:bCs/>
        </w:rPr>
        <w:t>Payne SL</w:t>
      </w:r>
      <w:r>
        <w:t xml:space="preserve">, </w:t>
      </w:r>
      <w:r>
        <w:rPr>
          <w:b/>
          <w:bCs/>
        </w:rPr>
        <w:t>Prosperi A</w:t>
      </w:r>
      <w:r>
        <w:t xml:space="preserve">, </w:t>
      </w:r>
      <w:r>
        <w:rPr>
          <w:b/>
          <w:bCs/>
        </w:rPr>
        <w:t>Ramos-González PL</w:t>
      </w:r>
      <w:r>
        <w:t xml:space="preserve">, </w:t>
      </w:r>
      <w:r>
        <w:rPr>
          <w:b/>
          <w:bCs/>
        </w:rPr>
        <w:t>Rima BK</w:t>
      </w:r>
      <w:r>
        <w:t xml:space="preserve">, </w:t>
      </w:r>
      <w:r>
        <w:rPr>
          <w:b/>
          <w:bCs/>
        </w:rPr>
        <w:t>Rota P</w:t>
      </w:r>
      <w:r>
        <w:t xml:space="preserve">, </w:t>
      </w:r>
      <w:r>
        <w:rPr>
          <w:b/>
          <w:bCs/>
        </w:rPr>
        <w:t>Rubbenstroth D</w:t>
      </w:r>
      <w:r>
        <w:t xml:space="preserve">, </w:t>
      </w:r>
      <w:r>
        <w:rPr>
          <w:b/>
          <w:bCs/>
        </w:rPr>
        <w:t>Shī M</w:t>
      </w:r>
      <w:r>
        <w:t xml:space="preserve">, </w:t>
      </w:r>
      <w:r>
        <w:rPr>
          <w:b/>
          <w:bCs/>
        </w:rPr>
        <w:t>Simmonds P</w:t>
      </w:r>
      <w:r>
        <w:t xml:space="preserve">, </w:t>
      </w:r>
      <w:r>
        <w:rPr>
          <w:b/>
          <w:bCs/>
        </w:rPr>
        <w:t>Smither SJ</w:t>
      </w:r>
      <w:r>
        <w:t xml:space="preserve">, </w:t>
      </w:r>
      <w:r>
        <w:rPr>
          <w:b/>
          <w:bCs/>
        </w:rPr>
        <w:t>Sozzi E</w:t>
      </w:r>
      <w:r>
        <w:t xml:space="preserve">, </w:t>
      </w:r>
      <w:r>
        <w:rPr>
          <w:b/>
          <w:bCs/>
        </w:rPr>
        <w:t>Spann K</w:t>
      </w:r>
      <w:r>
        <w:t xml:space="preserve">, </w:t>
      </w:r>
      <w:r>
        <w:rPr>
          <w:b/>
          <w:bCs/>
        </w:rPr>
        <w:t>Stenglein MD</w:t>
      </w:r>
      <w:r>
        <w:t xml:space="preserve">, </w:t>
      </w:r>
      <w:r>
        <w:rPr>
          <w:b/>
          <w:bCs/>
        </w:rPr>
        <w:t>Stone DM</w:t>
      </w:r>
      <w:r>
        <w:t xml:space="preserve">, </w:t>
      </w:r>
      <w:r>
        <w:rPr>
          <w:b/>
          <w:bCs/>
        </w:rPr>
        <w:t>Takada A</w:t>
      </w:r>
      <w:r>
        <w:t xml:space="preserve">, </w:t>
      </w:r>
      <w:r>
        <w:rPr>
          <w:b/>
          <w:bCs/>
        </w:rPr>
        <w:t>Tesh RB</w:t>
      </w:r>
      <w:r>
        <w:t xml:space="preserve">, </w:t>
      </w:r>
      <w:r>
        <w:rPr>
          <w:b/>
          <w:bCs/>
        </w:rPr>
        <w:t>Tomonaga K</w:t>
      </w:r>
      <w:r>
        <w:t xml:space="preserve">, </w:t>
      </w:r>
      <w:r>
        <w:rPr>
          <w:b/>
          <w:bCs/>
        </w:rPr>
        <w:t>Tordo N</w:t>
      </w:r>
      <w:r>
        <w:t xml:space="preserve">, </w:t>
      </w:r>
      <w:r>
        <w:rPr>
          <w:b/>
          <w:bCs/>
        </w:rPr>
        <w:t>Towner JS</w:t>
      </w:r>
      <w:r>
        <w:t xml:space="preserve">, </w:t>
      </w:r>
      <w:r>
        <w:rPr>
          <w:b/>
          <w:bCs/>
        </w:rPr>
        <w:t>Hoogen B van den</w:t>
      </w:r>
      <w:r>
        <w:t xml:space="preserve">, </w:t>
      </w:r>
      <w:r>
        <w:rPr>
          <w:b/>
          <w:bCs/>
        </w:rPr>
        <w:t>Vasilakis N</w:t>
      </w:r>
      <w:r>
        <w:t xml:space="preserve">, </w:t>
      </w:r>
      <w:r>
        <w:rPr>
          <w:b/>
          <w:bCs/>
        </w:rPr>
        <w:t>Wahl V</w:t>
      </w:r>
      <w:r>
        <w:t xml:space="preserve">, </w:t>
      </w:r>
      <w:r>
        <w:rPr>
          <w:b/>
          <w:bCs/>
        </w:rPr>
        <w:t>Walker PJ</w:t>
      </w:r>
      <w:r>
        <w:t xml:space="preserve">, </w:t>
      </w:r>
      <w:r>
        <w:rPr>
          <w:b/>
          <w:bCs/>
        </w:rPr>
        <w:t>Wang L-F</w:t>
      </w:r>
      <w:r>
        <w:t xml:space="preserve">, </w:t>
      </w:r>
      <w:r>
        <w:rPr>
          <w:b/>
          <w:bCs/>
        </w:rPr>
        <w:t>Whitfield AE</w:t>
      </w:r>
      <w:r>
        <w:t xml:space="preserve">, </w:t>
      </w:r>
      <w:r>
        <w:rPr>
          <w:b/>
          <w:bCs/>
        </w:rPr>
        <w:t>Williams JV</w:t>
      </w:r>
      <w:r>
        <w:t xml:space="preserve">, </w:t>
      </w:r>
      <w:r>
        <w:rPr>
          <w:b/>
          <w:bCs/>
        </w:rPr>
        <w:t>Zerbini FM</w:t>
      </w:r>
      <w:r>
        <w:t xml:space="preserve">, </w:t>
      </w:r>
      <w:r>
        <w:rPr>
          <w:b/>
          <w:bCs/>
        </w:rPr>
        <w:t>Zhāng T</w:t>
      </w:r>
      <w:r>
        <w:t xml:space="preserve">, </w:t>
      </w:r>
      <w:r>
        <w:rPr>
          <w:b/>
          <w:bCs/>
        </w:rPr>
        <w:t>Zhang Y-Z</w:t>
      </w:r>
      <w:r>
        <w:t xml:space="preserve">, </w:t>
      </w:r>
      <w:r>
        <w:rPr>
          <w:b/>
          <w:bCs/>
        </w:rPr>
        <w:t>Kuhn JH</w:t>
      </w:r>
      <w:r>
        <w:t xml:space="preserve">. 2019. Taxonomy of the order mononegavirales: Update 2019. Archives of Virology </w:t>
      </w:r>
      <w:r>
        <w:rPr>
          <w:b/>
          <w:bCs/>
        </w:rPr>
        <w:t>164</w:t>
      </w:r>
      <w:r>
        <w:t>:1967–1980. doi:</w:t>
      </w:r>
      <w:hyperlink r:id="rId70">
        <w:r w:rsidR="00B37F15">
          <w:rPr>
            <w:rStyle w:val="Hyperlink"/>
          </w:rPr>
          <w:t>10.1007/s00705-019-04247-4</w:t>
        </w:r>
      </w:hyperlink>
      <w:r>
        <w:t>.</w:t>
      </w:r>
    </w:p>
    <w:p w14:paraId="5A0AF55F" w14:textId="77777777" w:rsidR="00B37F15" w:rsidRDefault="00000000">
      <w:pPr>
        <w:pStyle w:val="Bibliography"/>
      </w:pPr>
      <w:bookmarkStart w:id="76" w:name="ref-Manni_2020"/>
      <w:bookmarkEnd w:id="75"/>
      <w:r>
        <w:t xml:space="preserve">52. </w:t>
      </w:r>
      <w:r>
        <w:tab/>
      </w:r>
      <w:r>
        <w:rPr>
          <w:b/>
          <w:bCs/>
        </w:rPr>
        <w:t>Manni M</w:t>
      </w:r>
      <w:r>
        <w:t xml:space="preserve">, </w:t>
      </w:r>
      <w:r>
        <w:rPr>
          <w:b/>
          <w:bCs/>
        </w:rPr>
        <w:t>Zdobnov EM</w:t>
      </w:r>
      <w:r>
        <w:t xml:space="preserve">. 2020. A novel anphevirus in aedes albopictus mosquitoes is distributed worldwide and interacts with the host RNA interference pathway. Viruses </w:t>
      </w:r>
      <w:r>
        <w:rPr>
          <w:b/>
          <w:bCs/>
        </w:rPr>
        <w:t>12</w:t>
      </w:r>
      <w:r>
        <w:t>:1264. doi:</w:t>
      </w:r>
      <w:hyperlink r:id="rId71">
        <w:r w:rsidR="00B37F15">
          <w:rPr>
            <w:rStyle w:val="Hyperlink"/>
          </w:rPr>
          <w:t>10.3390/v12111264</w:t>
        </w:r>
      </w:hyperlink>
      <w:r>
        <w:t>.</w:t>
      </w:r>
    </w:p>
    <w:p w14:paraId="71742044" w14:textId="77777777" w:rsidR="00B37F15" w:rsidRDefault="00000000">
      <w:pPr>
        <w:pStyle w:val="Bibliography"/>
      </w:pPr>
      <w:bookmarkStart w:id="77" w:name="ref-Vainio_2018"/>
      <w:bookmarkEnd w:id="76"/>
      <w:r>
        <w:t xml:space="preserve">53. </w:t>
      </w:r>
      <w:r>
        <w:tab/>
      </w:r>
      <w:r>
        <w:rPr>
          <w:b/>
          <w:bCs/>
        </w:rPr>
        <w:t>Vainio EJ</w:t>
      </w:r>
      <w:r>
        <w:t xml:space="preserve">, </w:t>
      </w:r>
      <w:r>
        <w:rPr>
          <w:b/>
          <w:bCs/>
        </w:rPr>
        <w:t>Chiba S</w:t>
      </w:r>
      <w:r>
        <w:t xml:space="preserve">, </w:t>
      </w:r>
      <w:r>
        <w:rPr>
          <w:b/>
          <w:bCs/>
        </w:rPr>
        <w:t>Ghabrial SA</w:t>
      </w:r>
      <w:r>
        <w:t xml:space="preserve">, </w:t>
      </w:r>
      <w:r>
        <w:rPr>
          <w:b/>
          <w:bCs/>
        </w:rPr>
        <w:t>Maiss E</w:t>
      </w:r>
      <w:r>
        <w:t xml:space="preserve">, </w:t>
      </w:r>
      <w:r>
        <w:rPr>
          <w:b/>
          <w:bCs/>
        </w:rPr>
        <w:t>Roossinck M</w:t>
      </w:r>
      <w:r>
        <w:t xml:space="preserve">, </w:t>
      </w:r>
      <w:r>
        <w:rPr>
          <w:b/>
          <w:bCs/>
        </w:rPr>
        <w:t>Sabanadzovic S</w:t>
      </w:r>
      <w:r>
        <w:t xml:space="preserve">, </w:t>
      </w:r>
      <w:r>
        <w:rPr>
          <w:b/>
          <w:bCs/>
        </w:rPr>
        <w:t>Suzuki N</w:t>
      </w:r>
      <w:r>
        <w:t xml:space="preserve">, </w:t>
      </w:r>
      <w:r>
        <w:rPr>
          <w:b/>
          <w:bCs/>
        </w:rPr>
        <w:t>Xie J</w:t>
      </w:r>
      <w:r>
        <w:t xml:space="preserve">, </w:t>
      </w:r>
      <w:r>
        <w:rPr>
          <w:b/>
          <w:bCs/>
        </w:rPr>
        <w:t>Nibert M</w:t>
      </w:r>
      <w:r>
        <w:t xml:space="preserve">. 2018. ICTV virus taxonomy profile: partitiviridae. Journal of General Virology </w:t>
      </w:r>
      <w:r>
        <w:rPr>
          <w:b/>
          <w:bCs/>
        </w:rPr>
        <w:t>99</w:t>
      </w:r>
      <w:r>
        <w:t>:17–18. doi:</w:t>
      </w:r>
      <w:hyperlink r:id="rId72">
        <w:r w:rsidR="00B37F15">
          <w:rPr>
            <w:rStyle w:val="Hyperlink"/>
          </w:rPr>
          <w:t>10.1099/jgv.0.000985</w:t>
        </w:r>
      </w:hyperlink>
      <w:r>
        <w:t>.</w:t>
      </w:r>
    </w:p>
    <w:p w14:paraId="0F06B9FB" w14:textId="77777777" w:rsidR="00B37F15" w:rsidRDefault="00000000">
      <w:pPr>
        <w:pStyle w:val="Bibliography"/>
      </w:pPr>
      <w:bookmarkStart w:id="78" w:name="ref-Fauver_2019"/>
      <w:bookmarkEnd w:id="77"/>
      <w:r>
        <w:t xml:space="preserve">54. </w:t>
      </w:r>
      <w:r>
        <w:tab/>
      </w:r>
      <w:r>
        <w:rPr>
          <w:b/>
          <w:bCs/>
        </w:rPr>
        <w:t>Fauver JR</w:t>
      </w:r>
      <w:r>
        <w:t xml:space="preserve">, </w:t>
      </w:r>
      <w:r>
        <w:rPr>
          <w:b/>
          <w:bCs/>
        </w:rPr>
        <w:t>Akter S</w:t>
      </w:r>
      <w:r>
        <w:t xml:space="preserve">, </w:t>
      </w:r>
      <w:r>
        <w:rPr>
          <w:b/>
          <w:bCs/>
        </w:rPr>
        <w:t>Morales AIO</w:t>
      </w:r>
      <w:r>
        <w:t xml:space="preserve">, </w:t>
      </w:r>
      <w:r>
        <w:rPr>
          <w:b/>
          <w:bCs/>
        </w:rPr>
        <w:t>Black WC</w:t>
      </w:r>
      <w:r>
        <w:t xml:space="preserve">, </w:t>
      </w:r>
      <w:r>
        <w:rPr>
          <w:b/>
          <w:bCs/>
        </w:rPr>
        <w:t>Rodriguez AD</w:t>
      </w:r>
      <w:r>
        <w:t xml:space="preserve">, </w:t>
      </w:r>
      <w:r>
        <w:rPr>
          <w:b/>
          <w:bCs/>
        </w:rPr>
        <w:t>Stenglein MD</w:t>
      </w:r>
      <w:r>
        <w:t xml:space="preserve">, </w:t>
      </w:r>
      <w:r>
        <w:rPr>
          <w:b/>
          <w:bCs/>
        </w:rPr>
        <w:t>Ebel GD</w:t>
      </w:r>
      <w:r>
        <w:t xml:space="preserve">, </w:t>
      </w:r>
      <w:r>
        <w:rPr>
          <w:b/>
          <w:bCs/>
        </w:rPr>
        <w:t>Weger-Lucarelli J</w:t>
      </w:r>
      <w:r>
        <w:t xml:space="preserve">. 2019. A reverse-transcription/RNase h based protocol for depletion of mosquito ribosomal RNA facilitates viral intrahost evolution analysis, transcriptomics and pathogen discovery. Virology </w:t>
      </w:r>
      <w:r>
        <w:rPr>
          <w:b/>
          <w:bCs/>
        </w:rPr>
        <w:t>528</w:t>
      </w:r>
      <w:r>
        <w:t>:181–197. doi:</w:t>
      </w:r>
      <w:hyperlink r:id="rId73">
        <w:r w:rsidR="00B37F15">
          <w:rPr>
            <w:rStyle w:val="Hyperlink"/>
          </w:rPr>
          <w:t>10.1016/j.virol.2018.12.020</w:t>
        </w:r>
      </w:hyperlink>
      <w:r>
        <w:t>.</w:t>
      </w:r>
    </w:p>
    <w:p w14:paraId="10198D9B" w14:textId="77777777" w:rsidR="00B37F15" w:rsidRDefault="00000000">
      <w:pPr>
        <w:pStyle w:val="Bibliography"/>
      </w:pPr>
      <w:bookmarkStart w:id="79" w:name="ref-Ribeiro_2020"/>
      <w:bookmarkEnd w:id="78"/>
      <w:r>
        <w:t xml:space="preserve">55. </w:t>
      </w:r>
      <w:r>
        <w:tab/>
      </w:r>
      <w:r>
        <w:rPr>
          <w:b/>
          <w:bCs/>
        </w:rPr>
        <w:t>Ribeiro G de O</w:t>
      </w:r>
      <w:r>
        <w:t xml:space="preserve">, </w:t>
      </w:r>
      <w:r>
        <w:rPr>
          <w:b/>
          <w:bCs/>
        </w:rPr>
        <w:t>Morais VS</w:t>
      </w:r>
      <w:r>
        <w:t xml:space="preserve">, </w:t>
      </w:r>
      <w:r>
        <w:rPr>
          <w:b/>
          <w:bCs/>
        </w:rPr>
        <w:t>Monteiro FJC</w:t>
      </w:r>
      <w:r>
        <w:t xml:space="preserve">, </w:t>
      </w:r>
      <w:r>
        <w:rPr>
          <w:b/>
          <w:bCs/>
        </w:rPr>
        <w:t>Ribeiro ESD</w:t>
      </w:r>
      <w:r>
        <w:t xml:space="preserve">, </w:t>
      </w:r>
      <w:r>
        <w:rPr>
          <w:b/>
          <w:bCs/>
        </w:rPr>
        <w:t>Rego MO da S</w:t>
      </w:r>
      <w:r>
        <w:t xml:space="preserve">, </w:t>
      </w:r>
      <w:r>
        <w:rPr>
          <w:b/>
          <w:bCs/>
        </w:rPr>
        <w:t>Souto RNP</w:t>
      </w:r>
      <w:r>
        <w:t xml:space="preserve">, </w:t>
      </w:r>
      <w:r>
        <w:rPr>
          <w:b/>
          <w:bCs/>
        </w:rPr>
        <w:t>Villanova F</w:t>
      </w:r>
      <w:r>
        <w:t xml:space="preserve">, </w:t>
      </w:r>
      <w:r>
        <w:rPr>
          <w:b/>
          <w:bCs/>
        </w:rPr>
        <w:t>Tahmasebi R</w:t>
      </w:r>
      <w:r>
        <w:t xml:space="preserve">, </w:t>
      </w:r>
      <w:r>
        <w:rPr>
          <w:b/>
          <w:bCs/>
        </w:rPr>
        <w:t>Hefford PM</w:t>
      </w:r>
      <w:r>
        <w:t xml:space="preserve">, </w:t>
      </w:r>
      <w:r>
        <w:rPr>
          <w:b/>
          <w:bCs/>
        </w:rPr>
        <w:t>Deng X</w:t>
      </w:r>
      <w:r>
        <w:t xml:space="preserve">, </w:t>
      </w:r>
      <w:r>
        <w:rPr>
          <w:b/>
          <w:bCs/>
        </w:rPr>
        <w:t>Delwart E</w:t>
      </w:r>
      <w:r>
        <w:t xml:space="preserve">, </w:t>
      </w:r>
      <w:r>
        <w:rPr>
          <w:b/>
          <w:bCs/>
        </w:rPr>
        <w:t>Cerdeira Sabino E</w:t>
      </w:r>
      <w:r>
        <w:t xml:space="preserve">, </w:t>
      </w:r>
      <w:r>
        <w:rPr>
          <w:b/>
          <w:bCs/>
        </w:rPr>
        <w:t>Fernandes LN</w:t>
      </w:r>
      <w:r>
        <w:t xml:space="preserve">, </w:t>
      </w:r>
      <w:r>
        <w:rPr>
          <w:b/>
          <w:bCs/>
        </w:rPr>
        <w:t>Costa AC da</w:t>
      </w:r>
      <w:r>
        <w:t xml:space="preserve">, </w:t>
      </w:r>
      <w:r>
        <w:rPr>
          <w:b/>
          <w:bCs/>
        </w:rPr>
        <w:t>Leal É</w:t>
      </w:r>
      <w:r>
        <w:t xml:space="preserve">. 2020. Aedes aegypti from amazon basin harbor high diversity of novel viral species. Viruses </w:t>
      </w:r>
      <w:r>
        <w:rPr>
          <w:b/>
          <w:bCs/>
        </w:rPr>
        <w:t>12</w:t>
      </w:r>
      <w:r>
        <w:t>:866. doi:</w:t>
      </w:r>
      <w:hyperlink r:id="rId74">
        <w:r w:rsidR="00B37F15">
          <w:rPr>
            <w:rStyle w:val="Hyperlink"/>
          </w:rPr>
          <w:t>10.3390/v12080866</w:t>
        </w:r>
      </w:hyperlink>
      <w:r>
        <w:t>.</w:t>
      </w:r>
    </w:p>
    <w:p w14:paraId="3F5A285C" w14:textId="77777777" w:rsidR="00B37F15" w:rsidRDefault="00000000">
      <w:pPr>
        <w:pStyle w:val="Bibliography"/>
      </w:pPr>
      <w:bookmarkStart w:id="80" w:name="ref-Ali_2021"/>
      <w:bookmarkEnd w:id="79"/>
      <w:r>
        <w:t xml:space="preserve">56. </w:t>
      </w:r>
      <w:r>
        <w:tab/>
      </w:r>
      <w:r>
        <w:rPr>
          <w:b/>
          <w:bCs/>
        </w:rPr>
        <w:t>Ali R</w:t>
      </w:r>
      <w:r>
        <w:t xml:space="preserve">, </w:t>
      </w:r>
      <w:r>
        <w:rPr>
          <w:b/>
          <w:bCs/>
        </w:rPr>
        <w:t>Jayaraj J</w:t>
      </w:r>
      <w:r>
        <w:t xml:space="preserve">, </w:t>
      </w:r>
      <w:r>
        <w:rPr>
          <w:b/>
          <w:bCs/>
        </w:rPr>
        <w:t>Mohammed A</w:t>
      </w:r>
      <w:r>
        <w:t xml:space="preserve">, </w:t>
      </w:r>
      <w:r>
        <w:rPr>
          <w:b/>
          <w:bCs/>
        </w:rPr>
        <w:t>Chinnaraja C</w:t>
      </w:r>
      <w:r>
        <w:t xml:space="preserve">, </w:t>
      </w:r>
      <w:r>
        <w:rPr>
          <w:b/>
          <w:bCs/>
        </w:rPr>
        <w:t>Carrington CVF</w:t>
      </w:r>
      <w:r>
        <w:t xml:space="preserve">, </w:t>
      </w:r>
      <w:r>
        <w:rPr>
          <w:b/>
          <w:bCs/>
        </w:rPr>
        <w:t>Severson DW</w:t>
      </w:r>
      <w:r>
        <w:t xml:space="preserve">, </w:t>
      </w:r>
      <w:r>
        <w:rPr>
          <w:b/>
          <w:bCs/>
        </w:rPr>
        <w:t>Ramsubhag A</w:t>
      </w:r>
      <w:r>
        <w:t xml:space="preserve">. 2021. Characterization of the virome associated with haemagogus mosquitoes in trinidad, west indies. Scientific Reports </w:t>
      </w:r>
      <w:r>
        <w:rPr>
          <w:b/>
          <w:bCs/>
        </w:rPr>
        <w:t>11</w:t>
      </w:r>
      <w:r>
        <w:t>. doi:</w:t>
      </w:r>
      <w:hyperlink r:id="rId75">
        <w:r w:rsidR="00B37F15">
          <w:rPr>
            <w:rStyle w:val="Hyperlink"/>
          </w:rPr>
          <w:t>10.1038/s41598-021-95842-6</w:t>
        </w:r>
      </w:hyperlink>
      <w:r>
        <w:t>.</w:t>
      </w:r>
    </w:p>
    <w:p w14:paraId="00CB1BFB" w14:textId="77777777" w:rsidR="00B37F15" w:rsidRDefault="00000000">
      <w:pPr>
        <w:pStyle w:val="Bibliography"/>
      </w:pPr>
      <w:bookmarkStart w:id="81" w:name="ref-Jitvaropas_2024"/>
      <w:bookmarkEnd w:id="80"/>
      <w:r>
        <w:t xml:space="preserve">57. </w:t>
      </w:r>
      <w:r>
        <w:tab/>
      </w:r>
      <w:r>
        <w:rPr>
          <w:b/>
          <w:bCs/>
        </w:rPr>
        <w:t>Jitvaropas R</w:t>
      </w:r>
      <w:r>
        <w:t xml:space="preserve">, </w:t>
      </w:r>
      <w:r>
        <w:rPr>
          <w:b/>
          <w:bCs/>
        </w:rPr>
        <w:t>Sawaswong V</w:t>
      </w:r>
      <w:r>
        <w:t xml:space="preserve">, </w:t>
      </w:r>
      <w:r>
        <w:rPr>
          <w:b/>
          <w:bCs/>
        </w:rPr>
        <w:t>Poovorawan Y</w:t>
      </w:r>
      <w:r>
        <w:t xml:space="preserve">, </w:t>
      </w:r>
      <w:r>
        <w:rPr>
          <w:b/>
          <w:bCs/>
        </w:rPr>
        <w:t>Auysawasdi N</w:t>
      </w:r>
      <w:r>
        <w:t xml:space="preserve">, </w:t>
      </w:r>
      <w:r>
        <w:rPr>
          <w:b/>
          <w:bCs/>
        </w:rPr>
        <w:t>Vuthitanachot V</w:t>
      </w:r>
      <w:r>
        <w:t xml:space="preserve">, </w:t>
      </w:r>
      <w:r>
        <w:rPr>
          <w:b/>
          <w:bCs/>
        </w:rPr>
        <w:t>Wongwairot S</w:t>
      </w:r>
      <w:r>
        <w:t xml:space="preserve">, </w:t>
      </w:r>
      <w:r>
        <w:rPr>
          <w:b/>
          <w:bCs/>
        </w:rPr>
        <w:t>Rodkvamtook W</w:t>
      </w:r>
      <w:r>
        <w:t xml:space="preserve">, </w:t>
      </w:r>
      <w:r>
        <w:rPr>
          <w:b/>
          <w:bCs/>
        </w:rPr>
        <w:t>Lindroth E</w:t>
      </w:r>
      <w:r>
        <w:t xml:space="preserve">, </w:t>
      </w:r>
      <w:r>
        <w:rPr>
          <w:b/>
          <w:bCs/>
        </w:rPr>
        <w:t>Payungporn S</w:t>
      </w:r>
      <w:r>
        <w:t xml:space="preserve">, </w:t>
      </w:r>
      <w:r>
        <w:rPr>
          <w:b/>
          <w:bCs/>
        </w:rPr>
        <w:t>Linsuwanon P</w:t>
      </w:r>
      <w:r>
        <w:t xml:space="preserve">. 2024. Identification of bacteria and viruses associated with patients with acute febrile illness in khon kaen province, thailand. Viruses </w:t>
      </w:r>
      <w:r>
        <w:rPr>
          <w:b/>
          <w:bCs/>
        </w:rPr>
        <w:t>16</w:t>
      </w:r>
      <w:r>
        <w:t>:630. doi:</w:t>
      </w:r>
      <w:hyperlink r:id="rId76">
        <w:r w:rsidR="00B37F15">
          <w:rPr>
            <w:rStyle w:val="Hyperlink"/>
          </w:rPr>
          <w:t>10.3390/v16040630</w:t>
        </w:r>
      </w:hyperlink>
      <w:r>
        <w:t>.</w:t>
      </w:r>
    </w:p>
    <w:p w14:paraId="0AFD1566" w14:textId="77777777" w:rsidR="00B37F15" w:rsidRDefault="00000000">
      <w:pPr>
        <w:pStyle w:val="Bibliography"/>
      </w:pPr>
      <w:bookmarkStart w:id="82" w:name="ref-Peterson_2024"/>
      <w:bookmarkEnd w:id="81"/>
      <w:r>
        <w:lastRenderedPageBreak/>
        <w:t xml:space="preserve">58. </w:t>
      </w:r>
      <w:r>
        <w:tab/>
      </w:r>
      <w:r>
        <w:rPr>
          <w:b/>
          <w:bCs/>
        </w:rPr>
        <w:t>Peterson AJ</w:t>
      </w:r>
      <w:r>
        <w:t xml:space="preserve">, </w:t>
      </w:r>
      <w:r>
        <w:rPr>
          <w:b/>
          <w:bCs/>
        </w:rPr>
        <w:t>Hall RA</w:t>
      </w:r>
      <w:r>
        <w:t xml:space="preserve">, </w:t>
      </w:r>
      <w:r>
        <w:rPr>
          <w:b/>
          <w:bCs/>
        </w:rPr>
        <w:t>Harrison JJ</w:t>
      </w:r>
      <w:r>
        <w:t xml:space="preserve">, </w:t>
      </w:r>
      <w:r>
        <w:rPr>
          <w:b/>
          <w:bCs/>
        </w:rPr>
        <w:t>Hobson-Peters J</w:t>
      </w:r>
      <w:r>
        <w:t xml:space="preserve">, </w:t>
      </w:r>
      <w:r>
        <w:rPr>
          <w:b/>
          <w:bCs/>
        </w:rPr>
        <w:t>Hugo LE</w:t>
      </w:r>
      <w:r>
        <w:t xml:space="preserve">. 2024. Unleashing nature’s allies: Comparing the vertical transmission dynamics of insect-specific and vertebrate-infecting flaviviruses in mosquitoes. Viruses </w:t>
      </w:r>
      <w:r>
        <w:rPr>
          <w:b/>
          <w:bCs/>
        </w:rPr>
        <w:t>16</w:t>
      </w:r>
      <w:r>
        <w:t>:1499. doi:</w:t>
      </w:r>
      <w:hyperlink r:id="rId77">
        <w:r w:rsidR="00B37F15">
          <w:rPr>
            <w:rStyle w:val="Hyperlink"/>
          </w:rPr>
          <w:t>10.3390/v16091499</w:t>
        </w:r>
      </w:hyperlink>
      <w:r>
        <w:t>.</w:t>
      </w:r>
    </w:p>
    <w:p w14:paraId="2A2A99C9" w14:textId="77777777" w:rsidR="00B37F15" w:rsidRDefault="00000000">
      <w:pPr>
        <w:pStyle w:val="Bibliography"/>
      </w:pPr>
      <w:bookmarkStart w:id="83" w:name="ref-Degner_2016"/>
      <w:bookmarkEnd w:id="82"/>
      <w:r>
        <w:t xml:space="preserve">59. </w:t>
      </w:r>
      <w:r>
        <w:tab/>
      </w:r>
      <w:r>
        <w:rPr>
          <w:b/>
          <w:bCs/>
        </w:rPr>
        <w:t>Degner EC</w:t>
      </w:r>
      <w:r>
        <w:t xml:space="preserve">, </w:t>
      </w:r>
      <w:r>
        <w:rPr>
          <w:b/>
          <w:bCs/>
        </w:rPr>
        <w:t>Harrington LC</w:t>
      </w:r>
      <w:r>
        <w:t xml:space="preserve">. 2016. A mosquito sperm’s journey from male ejaculate to egg: Mechanisms, molecules, and methods for exploration. Molecular Reproduction and Development </w:t>
      </w:r>
      <w:r>
        <w:rPr>
          <w:b/>
          <w:bCs/>
        </w:rPr>
        <w:t>83</w:t>
      </w:r>
      <w:r>
        <w:t>:897–911. doi:</w:t>
      </w:r>
      <w:hyperlink r:id="rId78">
        <w:r w:rsidR="00B37F15">
          <w:rPr>
            <w:rStyle w:val="Hyperlink"/>
          </w:rPr>
          <w:t>10.1002/mrd.22653</w:t>
        </w:r>
      </w:hyperlink>
      <w:r>
        <w:t>.</w:t>
      </w:r>
    </w:p>
    <w:p w14:paraId="3F5A8E0C" w14:textId="77777777" w:rsidR="00B37F15" w:rsidRDefault="00000000">
      <w:pPr>
        <w:pStyle w:val="Bibliography"/>
      </w:pPr>
      <w:bookmarkStart w:id="84" w:name="ref-Mao_2019"/>
      <w:bookmarkEnd w:id="83"/>
      <w:r>
        <w:t xml:space="preserve">60. </w:t>
      </w:r>
      <w:r>
        <w:tab/>
      </w:r>
      <w:r>
        <w:rPr>
          <w:b/>
          <w:bCs/>
        </w:rPr>
        <w:t>Mao Q</w:t>
      </w:r>
      <w:r>
        <w:t xml:space="preserve">, </w:t>
      </w:r>
      <w:r>
        <w:rPr>
          <w:b/>
          <w:bCs/>
        </w:rPr>
        <w:t>Wu W</w:t>
      </w:r>
      <w:r>
        <w:t xml:space="preserve">, </w:t>
      </w:r>
      <w:r>
        <w:rPr>
          <w:b/>
          <w:bCs/>
        </w:rPr>
        <w:t>Liao Z</w:t>
      </w:r>
      <w:r>
        <w:t xml:space="preserve">, </w:t>
      </w:r>
      <w:r>
        <w:rPr>
          <w:b/>
          <w:bCs/>
        </w:rPr>
        <w:t>Li J</w:t>
      </w:r>
      <w:r>
        <w:t xml:space="preserve">, </w:t>
      </w:r>
      <w:r>
        <w:rPr>
          <w:b/>
          <w:bCs/>
        </w:rPr>
        <w:t>Jia D</w:t>
      </w:r>
      <w:r>
        <w:t xml:space="preserve">, </w:t>
      </w:r>
      <w:r>
        <w:rPr>
          <w:b/>
          <w:bCs/>
        </w:rPr>
        <w:t>Zhang X</w:t>
      </w:r>
      <w:r>
        <w:t xml:space="preserve">, </w:t>
      </w:r>
      <w:r>
        <w:rPr>
          <w:b/>
          <w:bCs/>
        </w:rPr>
        <w:t>Chen Q</w:t>
      </w:r>
      <w:r>
        <w:t xml:space="preserve">, </w:t>
      </w:r>
      <w:r>
        <w:rPr>
          <w:b/>
          <w:bCs/>
        </w:rPr>
        <w:t>Chen H</w:t>
      </w:r>
      <w:r>
        <w:t xml:space="preserve">, </w:t>
      </w:r>
      <w:r>
        <w:rPr>
          <w:b/>
          <w:bCs/>
        </w:rPr>
        <w:t>Wei J</w:t>
      </w:r>
      <w:r>
        <w:t xml:space="preserve">, </w:t>
      </w:r>
      <w:r>
        <w:rPr>
          <w:b/>
          <w:bCs/>
        </w:rPr>
        <w:t>Wei T</w:t>
      </w:r>
      <w:r>
        <w:t xml:space="preserve">. 2019. Viral pathogens hitchhike with insect sperm for paternal transmission. Nature Communications </w:t>
      </w:r>
      <w:r>
        <w:rPr>
          <w:b/>
          <w:bCs/>
        </w:rPr>
        <w:t>10</w:t>
      </w:r>
      <w:r>
        <w:t>. doi:</w:t>
      </w:r>
      <w:hyperlink r:id="rId79">
        <w:r w:rsidR="00B37F15">
          <w:rPr>
            <w:rStyle w:val="Hyperlink"/>
          </w:rPr>
          <w:t>10.1038/s41467-019-08860-4</w:t>
        </w:r>
      </w:hyperlink>
      <w:r>
        <w:t>.</w:t>
      </w:r>
    </w:p>
    <w:p w14:paraId="10083246" w14:textId="77777777" w:rsidR="00B37F15" w:rsidRDefault="00000000">
      <w:pPr>
        <w:pStyle w:val="Bibliography"/>
      </w:pPr>
      <w:bookmarkStart w:id="85" w:name="ref-Wan_2023"/>
      <w:bookmarkEnd w:id="84"/>
      <w:r>
        <w:t xml:space="preserve">61. </w:t>
      </w:r>
      <w:r>
        <w:tab/>
      </w:r>
      <w:r>
        <w:rPr>
          <w:b/>
          <w:bCs/>
        </w:rPr>
        <w:t>Wan J</w:t>
      </w:r>
      <w:r>
        <w:t xml:space="preserve">, </w:t>
      </w:r>
      <w:r>
        <w:rPr>
          <w:b/>
          <w:bCs/>
        </w:rPr>
        <w:t>Liang Q</w:t>
      </w:r>
      <w:r>
        <w:t xml:space="preserve">, </w:t>
      </w:r>
      <w:r>
        <w:rPr>
          <w:b/>
          <w:bCs/>
        </w:rPr>
        <w:t>Zhang R</w:t>
      </w:r>
      <w:r>
        <w:t xml:space="preserve">, </w:t>
      </w:r>
      <w:r>
        <w:rPr>
          <w:b/>
          <w:bCs/>
        </w:rPr>
        <w:t>Cheng Y</w:t>
      </w:r>
      <w:r>
        <w:t xml:space="preserve">, </w:t>
      </w:r>
      <w:r>
        <w:rPr>
          <w:b/>
          <w:bCs/>
        </w:rPr>
        <w:t>Wang X</w:t>
      </w:r>
      <w:r>
        <w:t xml:space="preserve">, </w:t>
      </w:r>
      <w:r>
        <w:rPr>
          <w:b/>
          <w:bCs/>
        </w:rPr>
        <w:t>Wang H</w:t>
      </w:r>
      <w:r>
        <w:t xml:space="preserve">, </w:t>
      </w:r>
      <w:r>
        <w:rPr>
          <w:b/>
          <w:bCs/>
        </w:rPr>
        <w:t>Zhang J</w:t>
      </w:r>
      <w:r>
        <w:t xml:space="preserve">, </w:t>
      </w:r>
      <w:r>
        <w:rPr>
          <w:b/>
          <w:bCs/>
        </w:rPr>
        <w:t>Jia D</w:t>
      </w:r>
      <w:r>
        <w:t xml:space="preserve">, </w:t>
      </w:r>
      <w:r>
        <w:rPr>
          <w:b/>
          <w:bCs/>
        </w:rPr>
        <w:t>Du Y</w:t>
      </w:r>
      <w:r>
        <w:t xml:space="preserve">, </w:t>
      </w:r>
      <w:r>
        <w:rPr>
          <w:b/>
          <w:bCs/>
        </w:rPr>
        <w:t>Zheng W</w:t>
      </w:r>
      <w:r>
        <w:t xml:space="preserve">, </w:t>
      </w:r>
      <w:r>
        <w:rPr>
          <w:b/>
          <w:bCs/>
        </w:rPr>
        <w:t>Tang D</w:t>
      </w:r>
      <w:r>
        <w:t xml:space="preserve">, </w:t>
      </w:r>
      <w:r>
        <w:rPr>
          <w:b/>
          <w:bCs/>
        </w:rPr>
        <w:t>Wei T</w:t>
      </w:r>
      <w:r>
        <w:t xml:space="preserve">, </w:t>
      </w:r>
      <w:r>
        <w:rPr>
          <w:b/>
          <w:bCs/>
        </w:rPr>
        <w:t>Chen Q</w:t>
      </w:r>
      <w:r>
        <w:t xml:space="preserve">. 2023. Arboviruses and symbiotic viruses cooperatively hijack insect sperm-specific proteins for paternal transmission. Nature Communications </w:t>
      </w:r>
      <w:r>
        <w:rPr>
          <w:b/>
          <w:bCs/>
        </w:rPr>
        <w:t>14</w:t>
      </w:r>
      <w:r>
        <w:t>. doi:</w:t>
      </w:r>
      <w:hyperlink r:id="rId80">
        <w:r w:rsidR="00B37F15">
          <w:rPr>
            <w:rStyle w:val="Hyperlink"/>
          </w:rPr>
          <w:t>10.1038/s41467-023-36993-0</w:t>
        </w:r>
      </w:hyperlink>
      <w:r>
        <w:t>.</w:t>
      </w:r>
    </w:p>
    <w:p w14:paraId="257D6360" w14:textId="77777777" w:rsidR="00B37F15" w:rsidRDefault="00000000">
      <w:pPr>
        <w:pStyle w:val="Bibliography"/>
      </w:pPr>
      <w:bookmarkStart w:id="86" w:name="ref-Fine_1975"/>
      <w:bookmarkEnd w:id="85"/>
      <w:r>
        <w:t xml:space="preserve">62. </w:t>
      </w:r>
      <w:r>
        <w:tab/>
      </w:r>
      <w:r>
        <w:rPr>
          <w:b/>
          <w:bCs/>
        </w:rPr>
        <w:t>Fine PEM</w:t>
      </w:r>
      <w:r>
        <w:t xml:space="preserve">. 1975. VECTORS AND VERTICAL TRANSMISSION: AN EPIDEMIOLOGIC PERSPECTIVE. Annals of the New York Academy of Sciences </w:t>
      </w:r>
      <w:r>
        <w:rPr>
          <w:b/>
          <w:bCs/>
        </w:rPr>
        <w:t>266</w:t>
      </w:r>
      <w:r>
        <w:t>:173–194. doi:</w:t>
      </w:r>
      <w:hyperlink r:id="rId81">
        <w:r w:rsidR="00B37F15">
          <w:rPr>
            <w:rStyle w:val="Hyperlink"/>
          </w:rPr>
          <w:t>10.1111/j.1749-6632.1975.tb35099.x</w:t>
        </w:r>
      </w:hyperlink>
      <w:r>
        <w:t>.</w:t>
      </w:r>
    </w:p>
    <w:p w14:paraId="565A1957" w14:textId="77777777" w:rsidR="00B37F15" w:rsidRDefault="00000000">
      <w:pPr>
        <w:pStyle w:val="Bibliography"/>
      </w:pPr>
      <w:bookmarkStart w:id="87" w:name="ref-Werren_2008"/>
      <w:bookmarkEnd w:id="86"/>
      <w:r>
        <w:t xml:space="preserve">63. </w:t>
      </w:r>
      <w:r>
        <w:tab/>
      </w:r>
      <w:r>
        <w:rPr>
          <w:b/>
          <w:bCs/>
        </w:rPr>
        <w:t>Werren JH</w:t>
      </w:r>
      <w:r>
        <w:t xml:space="preserve">, </w:t>
      </w:r>
      <w:r>
        <w:rPr>
          <w:b/>
          <w:bCs/>
        </w:rPr>
        <w:t>Baldo L</w:t>
      </w:r>
      <w:r>
        <w:t xml:space="preserve">, </w:t>
      </w:r>
      <w:r>
        <w:rPr>
          <w:b/>
          <w:bCs/>
        </w:rPr>
        <w:t>Clark ME</w:t>
      </w:r>
      <w:r>
        <w:t xml:space="preserve">. 2008. Wolbachia: Master manipulators of invertebrate biology. Nature Reviews Microbiology </w:t>
      </w:r>
      <w:r>
        <w:rPr>
          <w:b/>
          <w:bCs/>
        </w:rPr>
        <w:t>6</w:t>
      </w:r>
      <w:r>
        <w:t>:741–751. doi:</w:t>
      </w:r>
      <w:hyperlink r:id="rId82">
        <w:r w:rsidR="00B37F15">
          <w:rPr>
            <w:rStyle w:val="Hyperlink"/>
          </w:rPr>
          <w:t>10.1038/nrmicro1969</w:t>
        </w:r>
      </w:hyperlink>
      <w:r>
        <w:t>.</w:t>
      </w:r>
    </w:p>
    <w:p w14:paraId="598AF2AC" w14:textId="77777777" w:rsidR="00B37F15" w:rsidRDefault="00000000">
      <w:pPr>
        <w:pStyle w:val="Bibliography"/>
      </w:pPr>
      <w:bookmarkStart w:id="88" w:name="ref-Longdon_2012"/>
      <w:bookmarkEnd w:id="87"/>
      <w:r>
        <w:t xml:space="preserve">64. </w:t>
      </w:r>
      <w:r>
        <w:tab/>
      </w:r>
      <w:r>
        <w:rPr>
          <w:b/>
          <w:bCs/>
        </w:rPr>
        <w:t>Longdon B</w:t>
      </w:r>
      <w:r>
        <w:t xml:space="preserve">, </w:t>
      </w:r>
      <w:r>
        <w:rPr>
          <w:b/>
          <w:bCs/>
        </w:rPr>
        <w:t>Jiggins FM</w:t>
      </w:r>
      <w:r>
        <w:t xml:space="preserve">. 2012. Vertically transmitted viral endosymbionts of insects: Do sigma viruses walk alone? Proceedings of the Royal Society B: Biological Sciences </w:t>
      </w:r>
      <w:r>
        <w:rPr>
          <w:b/>
          <w:bCs/>
        </w:rPr>
        <w:t>279</w:t>
      </w:r>
      <w:r>
        <w:t>:3889–3898. doi:</w:t>
      </w:r>
      <w:hyperlink r:id="rId83">
        <w:r w:rsidR="00B37F15">
          <w:rPr>
            <w:rStyle w:val="Hyperlink"/>
          </w:rPr>
          <w:t>10.1098/rspb.2012.1208</w:t>
        </w:r>
      </w:hyperlink>
      <w:r>
        <w:t>.</w:t>
      </w:r>
    </w:p>
    <w:p w14:paraId="428CA90B" w14:textId="77777777" w:rsidR="00B37F15" w:rsidRDefault="00000000">
      <w:pPr>
        <w:pStyle w:val="Bibliography"/>
      </w:pPr>
      <w:bookmarkStart w:id="89" w:name="ref-Logan_2022"/>
      <w:bookmarkEnd w:id="88"/>
      <w:r>
        <w:t xml:space="preserve">65. </w:t>
      </w:r>
      <w:r>
        <w:tab/>
      </w:r>
      <w:r>
        <w:rPr>
          <w:b/>
          <w:bCs/>
        </w:rPr>
        <w:t>Logan RAE</w:t>
      </w:r>
      <w:r>
        <w:t xml:space="preserve">, </w:t>
      </w:r>
      <w:r>
        <w:rPr>
          <w:b/>
          <w:bCs/>
        </w:rPr>
        <w:t>Quek S</w:t>
      </w:r>
      <w:r>
        <w:t xml:space="preserve">, </w:t>
      </w:r>
      <w:r>
        <w:rPr>
          <w:b/>
          <w:bCs/>
        </w:rPr>
        <w:t>Muthoni JN</w:t>
      </w:r>
      <w:r>
        <w:t xml:space="preserve">, </w:t>
      </w:r>
      <w:r>
        <w:rPr>
          <w:b/>
          <w:bCs/>
        </w:rPr>
        <w:t>Eicken A von</w:t>
      </w:r>
      <w:r>
        <w:t xml:space="preserve">, </w:t>
      </w:r>
      <w:r>
        <w:rPr>
          <w:b/>
          <w:bCs/>
        </w:rPr>
        <w:t>Brettell LE</w:t>
      </w:r>
      <w:r>
        <w:t xml:space="preserve">, </w:t>
      </w:r>
      <w:r>
        <w:rPr>
          <w:b/>
          <w:bCs/>
        </w:rPr>
        <w:t>Anderson ER</w:t>
      </w:r>
      <w:r>
        <w:t xml:space="preserve">, </w:t>
      </w:r>
      <w:r>
        <w:rPr>
          <w:b/>
          <w:bCs/>
        </w:rPr>
        <w:t>Villena MEN</w:t>
      </w:r>
      <w:r>
        <w:t xml:space="preserve">, </w:t>
      </w:r>
      <w:r>
        <w:rPr>
          <w:b/>
          <w:bCs/>
        </w:rPr>
        <w:t>Hegde S</w:t>
      </w:r>
      <w:r>
        <w:t xml:space="preserve">, </w:t>
      </w:r>
      <w:r>
        <w:rPr>
          <w:b/>
          <w:bCs/>
        </w:rPr>
        <w:t>Patterson GT</w:t>
      </w:r>
      <w:r>
        <w:t xml:space="preserve">, </w:t>
      </w:r>
      <w:r>
        <w:rPr>
          <w:b/>
          <w:bCs/>
        </w:rPr>
        <w:t>Heinz E</w:t>
      </w:r>
      <w:r>
        <w:t xml:space="preserve">, </w:t>
      </w:r>
      <w:r>
        <w:rPr>
          <w:b/>
          <w:bCs/>
        </w:rPr>
        <w:t>Hughes GL</w:t>
      </w:r>
      <w:r>
        <w:t xml:space="preserve">, </w:t>
      </w:r>
      <w:r>
        <w:rPr>
          <w:b/>
          <w:bCs/>
        </w:rPr>
        <w:t>Patterson EI</w:t>
      </w:r>
      <w:r>
        <w:t xml:space="preserve">. 2022. Vertical and horizontal transmission of cell fusing agent virus in aedes aegypti. Applied and Environmental Microbiology </w:t>
      </w:r>
      <w:r>
        <w:rPr>
          <w:b/>
          <w:bCs/>
        </w:rPr>
        <w:t>88</w:t>
      </w:r>
      <w:r>
        <w:t>. doi:</w:t>
      </w:r>
      <w:hyperlink r:id="rId84">
        <w:r w:rsidR="00B37F15">
          <w:rPr>
            <w:rStyle w:val="Hyperlink"/>
          </w:rPr>
          <w:t>10.1128/aem.01062-22</w:t>
        </w:r>
      </w:hyperlink>
      <w:r>
        <w:t>.</w:t>
      </w:r>
    </w:p>
    <w:p w14:paraId="293DEECD" w14:textId="77777777" w:rsidR="00B37F15" w:rsidRDefault="00000000">
      <w:pPr>
        <w:pStyle w:val="Bibliography"/>
      </w:pPr>
      <w:bookmarkStart w:id="90" w:name="ref-Fleuriet_1982"/>
      <w:bookmarkEnd w:id="89"/>
      <w:r>
        <w:t xml:space="preserve">66. </w:t>
      </w:r>
      <w:r>
        <w:tab/>
      </w:r>
      <w:r>
        <w:rPr>
          <w:b/>
          <w:bCs/>
        </w:rPr>
        <w:t>Fleuriet A</w:t>
      </w:r>
      <w:r>
        <w:t xml:space="preserve">. 1982. Transmission efficiency of the sigma virus in natural populations of its host, drosophila melanogaster. Archives of Virology </w:t>
      </w:r>
      <w:r>
        <w:rPr>
          <w:b/>
          <w:bCs/>
        </w:rPr>
        <w:t>71</w:t>
      </w:r>
      <w:r>
        <w:t>:155–167. doi:</w:t>
      </w:r>
      <w:hyperlink r:id="rId85">
        <w:r w:rsidR="00B37F15">
          <w:rPr>
            <w:rStyle w:val="Hyperlink"/>
          </w:rPr>
          <w:t>10.1007/bf01314885</w:t>
        </w:r>
      </w:hyperlink>
      <w:r>
        <w:t>.</w:t>
      </w:r>
    </w:p>
    <w:p w14:paraId="47FF0637" w14:textId="77777777" w:rsidR="00B37F15" w:rsidRDefault="00000000">
      <w:pPr>
        <w:pStyle w:val="Bibliography"/>
      </w:pPr>
      <w:bookmarkStart w:id="91" w:name="ref-Utarini_2021"/>
      <w:bookmarkEnd w:id="90"/>
      <w:r>
        <w:t xml:space="preserve">67. </w:t>
      </w:r>
      <w:r>
        <w:tab/>
      </w:r>
      <w:r>
        <w:rPr>
          <w:b/>
          <w:bCs/>
        </w:rPr>
        <w:t>Utarini A</w:t>
      </w:r>
      <w:r>
        <w:t xml:space="preserve">, </w:t>
      </w:r>
      <w:r>
        <w:rPr>
          <w:b/>
          <w:bCs/>
        </w:rPr>
        <w:t>Indriani C</w:t>
      </w:r>
      <w:r>
        <w:t xml:space="preserve">, </w:t>
      </w:r>
      <w:r>
        <w:rPr>
          <w:b/>
          <w:bCs/>
        </w:rPr>
        <w:t>Ahmad RA</w:t>
      </w:r>
      <w:r>
        <w:t xml:space="preserve">, </w:t>
      </w:r>
      <w:r>
        <w:rPr>
          <w:b/>
          <w:bCs/>
        </w:rPr>
        <w:t>Tantowijoyo W</w:t>
      </w:r>
      <w:r>
        <w:t xml:space="preserve">, </w:t>
      </w:r>
      <w:r>
        <w:rPr>
          <w:b/>
          <w:bCs/>
        </w:rPr>
        <w:t>Arguni E</w:t>
      </w:r>
      <w:r>
        <w:t xml:space="preserve">, </w:t>
      </w:r>
      <w:r>
        <w:rPr>
          <w:b/>
          <w:bCs/>
        </w:rPr>
        <w:t>Ansari MR</w:t>
      </w:r>
      <w:r>
        <w:t xml:space="preserve">, </w:t>
      </w:r>
      <w:r>
        <w:rPr>
          <w:b/>
          <w:bCs/>
        </w:rPr>
        <w:t>Supriyati E</w:t>
      </w:r>
      <w:r>
        <w:t xml:space="preserve">, </w:t>
      </w:r>
      <w:r>
        <w:rPr>
          <w:b/>
          <w:bCs/>
        </w:rPr>
        <w:t>Wardana DS</w:t>
      </w:r>
      <w:r>
        <w:t xml:space="preserve">, </w:t>
      </w:r>
      <w:r>
        <w:rPr>
          <w:b/>
          <w:bCs/>
        </w:rPr>
        <w:t>Meitika Y</w:t>
      </w:r>
      <w:r>
        <w:t xml:space="preserve">, </w:t>
      </w:r>
      <w:r>
        <w:rPr>
          <w:b/>
          <w:bCs/>
        </w:rPr>
        <w:t>Ernesia I</w:t>
      </w:r>
      <w:r>
        <w:t xml:space="preserve">, </w:t>
      </w:r>
      <w:r>
        <w:rPr>
          <w:b/>
          <w:bCs/>
        </w:rPr>
        <w:t>Nurhayati I</w:t>
      </w:r>
      <w:r>
        <w:t xml:space="preserve">, </w:t>
      </w:r>
      <w:r>
        <w:rPr>
          <w:b/>
          <w:bCs/>
        </w:rPr>
        <w:t>Prabowo E</w:t>
      </w:r>
      <w:r>
        <w:t xml:space="preserve">, </w:t>
      </w:r>
      <w:r>
        <w:rPr>
          <w:b/>
          <w:bCs/>
        </w:rPr>
        <w:t>Andari B</w:t>
      </w:r>
      <w:r>
        <w:t xml:space="preserve">, </w:t>
      </w:r>
      <w:r>
        <w:rPr>
          <w:b/>
          <w:bCs/>
        </w:rPr>
        <w:t>Green BR</w:t>
      </w:r>
      <w:r>
        <w:t xml:space="preserve">, </w:t>
      </w:r>
      <w:r>
        <w:rPr>
          <w:b/>
          <w:bCs/>
        </w:rPr>
        <w:t xml:space="preserve">Hodgson </w:t>
      </w:r>
      <w:r>
        <w:rPr>
          <w:b/>
          <w:bCs/>
        </w:rPr>
        <w:lastRenderedPageBreak/>
        <w:t>L</w:t>
      </w:r>
      <w:r>
        <w:t xml:space="preserve">, </w:t>
      </w:r>
      <w:r>
        <w:rPr>
          <w:b/>
          <w:bCs/>
        </w:rPr>
        <w:t>Cutcher Z</w:t>
      </w:r>
      <w:r>
        <w:t xml:space="preserve">, </w:t>
      </w:r>
      <w:r>
        <w:rPr>
          <w:b/>
          <w:bCs/>
        </w:rPr>
        <w:t>Rancès E</w:t>
      </w:r>
      <w:r>
        <w:t xml:space="preserve">, </w:t>
      </w:r>
      <w:r>
        <w:rPr>
          <w:b/>
          <w:bCs/>
        </w:rPr>
        <w:t>Ryan PA</w:t>
      </w:r>
      <w:r>
        <w:t xml:space="preserve">, </w:t>
      </w:r>
      <w:r>
        <w:rPr>
          <w:b/>
          <w:bCs/>
        </w:rPr>
        <w:t>O’Neill SL</w:t>
      </w:r>
      <w:r>
        <w:t xml:space="preserve">, </w:t>
      </w:r>
      <w:r>
        <w:rPr>
          <w:b/>
          <w:bCs/>
        </w:rPr>
        <w:t>Dufault SM</w:t>
      </w:r>
      <w:r>
        <w:t xml:space="preserve">, </w:t>
      </w:r>
      <w:r>
        <w:rPr>
          <w:b/>
          <w:bCs/>
        </w:rPr>
        <w:t>Tanamas SK</w:t>
      </w:r>
      <w:r>
        <w:t xml:space="preserve">, </w:t>
      </w:r>
      <w:r>
        <w:rPr>
          <w:b/>
          <w:bCs/>
        </w:rPr>
        <w:t>Jewell NP</w:t>
      </w:r>
      <w:r>
        <w:t xml:space="preserve">, </w:t>
      </w:r>
      <w:r>
        <w:rPr>
          <w:b/>
          <w:bCs/>
        </w:rPr>
        <w:t>Anders KL</w:t>
      </w:r>
      <w:r>
        <w:t xml:space="preserve">, </w:t>
      </w:r>
      <w:r>
        <w:rPr>
          <w:b/>
          <w:bCs/>
        </w:rPr>
        <w:t>Simmons CP</w:t>
      </w:r>
      <w:r>
        <w:t xml:space="preserve">. 2021. Efficacy of wolbachia-infected mosquito deployments for the control of dengue. New England Journal of Medicine </w:t>
      </w:r>
      <w:r>
        <w:rPr>
          <w:b/>
          <w:bCs/>
        </w:rPr>
        <w:t>384</w:t>
      </w:r>
      <w:r>
        <w:t>:2177–2186. doi:</w:t>
      </w:r>
      <w:hyperlink r:id="rId86">
        <w:r w:rsidR="00B37F15">
          <w:rPr>
            <w:rStyle w:val="Hyperlink"/>
          </w:rPr>
          <w:t>10.1056/nejmoa2030243</w:t>
        </w:r>
      </w:hyperlink>
      <w:r>
        <w:t>.</w:t>
      </w:r>
    </w:p>
    <w:bookmarkEnd w:id="25"/>
    <w:bookmarkEnd w:id="91"/>
    <w:p w14:paraId="1D9E3A5C" w14:textId="77777777" w:rsidR="00B37F15" w:rsidRDefault="00000000">
      <w:r>
        <w:br w:type="page"/>
      </w:r>
    </w:p>
    <w:p w14:paraId="5A318EBF" w14:textId="77777777" w:rsidR="00B37F15" w:rsidRDefault="00000000">
      <w:pPr>
        <w:pStyle w:val="Heading3"/>
      </w:pPr>
      <w:bookmarkStart w:id="92" w:name="supplemental-material"/>
      <w:r>
        <w:lastRenderedPageBreak/>
        <w:t>Supplemental Material</w:t>
      </w:r>
    </w:p>
    <w:tbl>
      <w:tblPr>
        <w:tblStyle w:val="Table"/>
        <w:tblW w:w="5000" w:type="pct"/>
        <w:tblLayout w:type="fixed"/>
        <w:tblLook w:val="0000" w:firstRow="0" w:lastRow="0" w:firstColumn="0" w:lastColumn="0" w:noHBand="0" w:noVBand="0"/>
      </w:tblPr>
      <w:tblGrid>
        <w:gridCol w:w="9360"/>
      </w:tblGrid>
      <w:tr w:rsidR="00B37F15" w14:paraId="7F17D543" w14:textId="77777777">
        <w:tc>
          <w:tcPr>
            <w:tcW w:w="7920" w:type="dxa"/>
          </w:tcPr>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B37F15" w14:paraId="4F03E77A" w14:textId="77777777" w:rsidTr="00B37F15">
              <w:trPr>
                <w:cnfStyle w:val="100000000000" w:firstRow="1" w:lastRow="0" w:firstColumn="0" w:lastColumn="0" w:oddVBand="0" w:evenVBand="0" w:oddHBand="0" w:evenHBand="0" w:firstRowFirstColumn="0" w:firstRowLastColumn="0" w:lastRowFirstColumn="0" w:lastRowLastColumn="0"/>
                <w:tblHeader/>
              </w:trPr>
              <w:tc>
                <w:tcPr>
                  <w:tcW w:w="1131" w:type="dxa"/>
                </w:tcPr>
                <w:p w14:paraId="3A3E1F7C" w14:textId="77777777" w:rsidR="00B37F15" w:rsidRDefault="00000000">
                  <w:pPr>
                    <w:pStyle w:val="Compact"/>
                    <w:jc w:val="center"/>
                  </w:pPr>
                  <w:bookmarkStart w:id="93" w:name="supptab-primers"/>
                  <w:r>
                    <w:t>Target</w:t>
                  </w:r>
                </w:p>
              </w:tc>
              <w:tc>
                <w:tcPr>
                  <w:tcW w:w="1131" w:type="dxa"/>
                </w:tcPr>
                <w:p w14:paraId="7C4AB9AD" w14:textId="77777777" w:rsidR="00B37F15" w:rsidRDefault="00000000">
                  <w:pPr>
                    <w:pStyle w:val="Compact"/>
                    <w:jc w:val="center"/>
                  </w:pPr>
                  <w:r>
                    <w:t>Primer F</w:t>
                  </w:r>
                </w:p>
              </w:tc>
              <w:tc>
                <w:tcPr>
                  <w:tcW w:w="1131" w:type="dxa"/>
                </w:tcPr>
                <w:p w14:paraId="59C215AF" w14:textId="77777777" w:rsidR="00B37F15" w:rsidRDefault="00000000">
                  <w:pPr>
                    <w:pStyle w:val="Compact"/>
                    <w:jc w:val="center"/>
                  </w:pPr>
                  <w:r>
                    <w:t>Primer F # (a)</w:t>
                  </w:r>
                </w:p>
              </w:tc>
              <w:tc>
                <w:tcPr>
                  <w:tcW w:w="1131" w:type="dxa"/>
                </w:tcPr>
                <w:p w14:paraId="05C6D3BD" w14:textId="77777777" w:rsidR="00B37F15" w:rsidRDefault="00000000">
                  <w:pPr>
                    <w:pStyle w:val="Compact"/>
                    <w:jc w:val="center"/>
                  </w:pPr>
                  <w:r>
                    <w:t>Primer R</w:t>
                  </w:r>
                </w:p>
              </w:tc>
              <w:tc>
                <w:tcPr>
                  <w:tcW w:w="1131" w:type="dxa"/>
                </w:tcPr>
                <w:p w14:paraId="37B5A21F" w14:textId="77777777" w:rsidR="00B37F15" w:rsidRDefault="00000000">
                  <w:pPr>
                    <w:pStyle w:val="Compact"/>
                    <w:jc w:val="center"/>
                  </w:pPr>
                  <w:r>
                    <w:t>Primer R # (a)</w:t>
                  </w:r>
                </w:p>
              </w:tc>
              <w:tc>
                <w:tcPr>
                  <w:tcW w:w="1131" w:type="dxa"/>
                </w:tcPr>
                <w:p w14:paraId="4E195C66" w14:textId="77777777" w:rsidR="00B37F15" w:rsidRDefault="00000000">
                  <w:pPr>
                    <w:pStyle w:val="Compact"/>
                    <w:jc w:val="center"/>
                  </w:pPr>
                  <w:r>
                    <w:t>Amplicon size (bp)</w:t>
                  </w:r>
                </w:p>
              </w:tc>
              <w:tc>
                <w:tcPr>
                  <w:tcW w:w="1131" w:type="dxa"/>
                </w:tcPr>
                <w:p w14:paraId="3DFA866D" w14:textId="77777777" w:rsidR="00B37F15" w:rsidRDefault="00000000">
                  <w:pPr>
                    <w:pStyle w:val="Compact"/>
                    <w:jc w:val="center"/>
                  </w:pPr>
                  <w:r>
                    <w:t>Reference</w:t>
                  </w:r>
                </w:p>
              </w:tc>
            </w:tr>
            <w:tr w:rsidR="00B37F15" w14:paraId="2EDFD0C6" w14:textId="77777777">
              <w:tc>
                <w:tcPr>
                  <w:tcW w:w="1131" w:type="dxa"/>
                </w:tcPr>
                <w:p w14:paraId="63D41207" w14:textId="77777777" w:rsidR="00B37F15" w:rsidRDefault="00000000">
                  <w:pPr>
                    <w:pStyle w:val="Compact"/>
                    <w:jc w:val="center"/>
                  </w:pPr>
                  <w:r>
                    <w:t>Aedes anphevirus</w:t>
                  </w:r>
                </w:p>
              </w:tc>
              <w:tc>
                <w:tcPr>
                  <w:tcW w:w="1131" w:type="dxa"/>
                </w:tcPr>
                <w:p w14:paraId="59C48729" w14:textId="77777777" w:rsidR="00B37F15" w:rsidRDefault="00000000">
                  <w:pPr>
                    <w:pStyle w:val="Compact"/>
                    <w:jc w:val="center"/>
                  </w:pPr>
                  <w:r>
                    <w:t>GACAGAAGAAAGGGCTGTGC</w:t>
                  </w:r>
                </w:p>
              </w:tc>
              <w:tc>
                <w:tcPr>
                  <w:tcW w:w="1131" w:type="dxa"/>
                </w:tcPr>
                <w:p w14:paraId="638209F5" w14:textId="77777777" w:rsidR="00B37F15" w:rsidRDefault="00000000">
                  <w:pPr>
                    <w:pStyle w:val="Compact"/>
                    <w:jc w:val="center"/>
                  </w:pPr>
                  <w:r>
                    <w:t>MDS_1682</w:t>
                  </w:r>
                </w:p>
              </w:tc>
              <w:tc>
                <w:tcPr>
                  <w:tcW w:w="1131" w:type="dxa"/>
                </w:tcPr>
                <w:p w14:paraId="0EC4E296" w14:textId="77777777" w:rsidR="00B37F15" w:rsidRDefault="00000000">
                  <w:pPr>
                    <w:pStyle w:val="Compact"/>
                    <w:jc w:val="center"/>
                  </w:pPr>
                  <w:r>
                    <w:t>ACTCGGGATACACAGCAACC</w:t>
                  </w:r>
                </w:p>
              </w:tc>
              <w:tc>
                <w:tcPr>
                  <w:tcW w:w="1131" w:type="dxa"/>
                </w:tcPr>
                <w:p w14:paraId="32353B28" w14:textId="77777777" w:rsidR="00B37F15" w:rsidRDefault="00000000">
                  <w:pPr>
                    <w:pStyle w:val="Compact"/>
                    <w:jc w:val="center"/>
                  </w:pPr>
                  <w:r>
                    <w:t>MDS_1683</w:t>
                  </w:r>
                </w:p>
              </w:tc>
              <w:tc>
                <w:tcPr>
                  <w:tcW w:w="1131" w:type="dxa"/>
                </w:tcPr>
                <w:p w14:paraId="3F2B3CE1" w14:textId="77777777" w:rsidR="00B37F15" w:rsidRDefault="00000000">
                  <w:pPr>
                    <w:pStyle w:val="Compact"/>
                    <w:jc w:val="center"/>
                  </w:pPr>
                  <w:r>
                    <w:t>353</w:t>
                  </w:r>
                </w:p>
              </w:tc>
              <w:tc>
                <w:tcPr>
                  <w:tcW w:w="1131" w:type="dxa"/>
                </w:tcPr>
                <w:p w14:paraId="78CB6B49" w14:textId="77777777" w:rsidR="00B37F15" w:rsidRDefault="00000000">
                  <w:pPr>
                    <w:pStyle w:val="Compact"/>
                    <w:jc w:val="center"/>
                  </w:pPr>
                  <w:r>
                    <w:t>This study</w:t>
                  </w:r>
                </w:p>
              </w:tc>
            </w:tr>
            <w:tr w:rsidR="00B37F15" w14:paraId="0526953D" w14:textId="77777777">
              <w:tc>
                <w:tcPr>
                  <w:tcW w:w="1131" w:type="dxa"/>
                </w:tcPr>
                <w:p w14:paraId="5B58FC24" w14:textId="77777777" w:rsidR="00B37F15" w:rsidRDefault="00000000">
                  <w:pPr>
                    <w:pStyle w:val="Compact"/>
                    <w:jc w:val="center"/>
                  </w:pPr>
                  <w:r>
                    <w:t>Verdadero virus</w:t>
                  </w:r>
                </w:p>
              </w:tc>
              <w:tc>
                <w:tcPr>
                  <w:tcW w:w="1131" w:type="dxa"/>
                </w:tcPr>
                <w:p w14:paraId="7FCDE477" w14:textId="77777777" w:rsidR="00B37F15" w:rsidRDefault="00000000">
                  <w:pPr>
                    <w:pStyle w:val="Compact"/>
                    <w:jc w:val="center"/>
                  </w:pPr>
                  <w:r>
                    <w:t>ATATGGGTCGTGTCGAAAGC</w:t>
                  </w:r>
                </w:p>
              </w:tc>
              <w:tc>
                <w:tcPr>
                  <w:tcW w:w="1131" w:type="dxa"/>
                </w:tcPr>
                <w:p w14:paraId="18C29EF2" w14:textId="77777777" w:rsidR="00B37F15" w:rsidRDefault="00000000">
                  <w:pPr>
                    <w:pStyle w:val="Compact"/>
                    <w:jc w:val="center"/>
                  </w:pPr>
                  <w:r>
                    <w:t>MDS_1662</w:t>
                  </w:r>
                </w:p>
              </w:tc>
              <w:tc>
                <w:tcPr>
                  <w:tcW w:w="1131" w:type="dxa"/>
                </w:tcPr>
                <w:p w14:paraId="7D586B2C" w14:textId="77777777" w:rsidR="00B37F15" w:rsidRDefault="00000000">
                  <w:pPr>
                    <w:pStyle w:val="Compact"/>
                    <w:jc w:val="center"/>
                  </w:pPr>
                  <w:r>
                    <w:t>CACCCCGAAATTTTCTTCAA</w:t>
                  </w:r>
                </w:p>
              </w:tc>
              <w:tc>
                <w:tcPr>
                  <w:tcW w:w="1131" w:type="dxa"/>
                </w:tcPr>
                <w:p w14:paraId="44147F34" w14:textId="77777777" w:rsidR="00B37F15" w:rsidRDefault="00000000">
                  <w:pPr>
                    <w:pStyle w:val="Compact"/>
                    <w:jc w:val="center"/>
                  </w:pPr>
                  <w:r>
                    <w:t>MDS_1663</w:t>
                  </w:r>
                </w:p>
              </w:tc>
              <w:tc>
                <w:tcPr>
                  <w:tcW w:w="1131" w:type="dxa"/>
                </w:tcPr>
                <w:p w14:paraId="6160D045" w14:textId="77777777" w:rsidR="00B37F15" w:rsidRDefault="00000000">
                  <w:pPr>
                    <w:pStyle w:val="Compact"/>
                    <w:jc w:val="center"/>
                  </w:pPr>
                  <w:r>
                    <w:t>341</w:t>
                  </w:r>
                </w:p>
              </w:tc>
              <w:tc>
                <w:tcPr>
                  <w:tcW w:w="1131" w:type="dxa"/>
                </w:tcPr>
                <w:p w14:paraId="5A22D3DC" w14:textId="77777777" w:rsidR="00B37F15" w:rsidRDefault="00000000">
                  <w:pPr>
                    <w:pStyle w:val="Compact"/>
                    <w:jc w:val="center"/>
                  </w:pPr>
                  <w:r>
                    <w:t>@Cross_2020</w:t>
                  </w:r>
                </w:p>
              </w:tc>
            </w:tr>
            <w:tr w:rsidR="00B37F15" w14:paraId="63D43A1B" w14:textId="77777777">
              <w:tc>
                <w:tcPr>
                  <w:tcW w:w="1131" w:type="dxa"/>
                </w:tcPr>
                <w:p w14:paraId="3437F15E" w14:textId="77777777" w:rsidR="00B37F15" w:rsidRDefault="00000000">
                  <w:pPr>
                    <w:pStyle w:val="Compact"/>
                    <w:jc w:val="center"/>
                  </w:pPr>
                  <w:r>
                    <w:t>Guadeloupe mosquito virus</w:t>
                  </w:r>
                </w:p>
              </w:tc>
              <w:tc>
                <w:tcPr>
                  <w:tcW w:w="1131" w:type="dxa"/>
                </w:tcPr>
                <w:p w14:paraId="6133836E" w14:textId="77777777" w:rsidR="00B37F15" w:rsidRDefault="00000000">
                  <w:pPr>
                    <w:pStyle w:val="Compact"/>
                    <w:jc w:val="center"/>
                  </w:pPr>
                  <w:r>
                    <w:t>TTGTAAATCCCCCTGTGCTC</w:t>
                  </w:r>
                </w:p>
              </w:tc>
              <w:tc>
                <w:tcPr>
                  <w:tcW w:w="1131" w:type="dxa"/>
                </w:tcPr>
                <w:p w14:paraId="1045FC77" w14:textId="77777777" w:rsidR="00B37F15" w:rsidRDefault="00000000">
                  <w:pPr>
                    <w:pStyle w:val="Compact"/>
                    <w:jc w:val="center"/>
                  </w:pPr>
                  <w:r>
                    <w:t>MDS_1688</w:t>
                  </w:r>
                </w:p>
              </w:tc>
              <w:tc>
                <w:tcPr>
                  <w:tcW w:w="1131" w:type="dxa"/>
                </w:tcPr>
                <w:p w14:paraId="67F30B1D" w14:textId="77777777" w:rsidR="00B37F15" w:rsidRDefault="00000000">
                  <w:pPr>
                    <w:pStyle w:val="Compact"/>
                    <w:jc w:val="center"/>
                  </w:pPr>
                  <w:r>
                    <w:t>CGCAAAAATTGGGTTTGAGT</w:t>
                  </w:r>
                </w:p>
              </w:tc>
              <w:tc>
                <w:tcPr>
                  <w:tcW w:w="1131" w:type="dxa"/>
                </w:tcPr>
                <w:p w14:paraId="71FE45FA" w14:textId="77777777" w:rsidR="00B37F15" w:rsidRDefault="00000000">
                  <w:pPr>
                    <w:pStyle w:val="Compact"/>
                    <w:jc w:val="center"/>
                  </w:pPr>
                  <w:r>
                    <w:t>MDS_1689</w:t>
                  </w:r>
                </w:p>
              </w:tc>
              <w:tc>
                <w:tcPr>
                  <w:tcW w:w="1131" w:type="dxa"/>
                </w:tcPr>
                <w:p w14:paraId="42CF7DFB" w14:textId="77777777" w:rsidR="00B37F15" w:rsidRDefault="00000000">
                  <w:pPr>
                    <w:pStyle w:val="Compact"/>
                    <w:jc w:val="center"/>
                  </w:pPr>
                  <w:r>
                    <w:t>497</w:t>
                  </w:r>
                </w:p>
              </w:tc>
              <w:tc>
                <w:tcPr>
                  <w:tcW w:w="1131" w:type="dxa"/>
                </w:tcPr>
                <w:p w14:paraId="2D20F142" w14:textId="77777777" w:rsidR="00B37F15" w:rsidRDefault="00000000">
                  <w:pPr>
                    <w:pStyle w:val="Compact"/>
                    <w:jc w:val="center"/>
                  </w:pPr>
                  <w:r>
                    <w:t>This study</w:t>
                  </w:r>
                </w:p>
              </w:tc>
            </w:tr>
            <w:tr w:rsidR="00B37F15" w14:paraId="6E6AFCF3" w14:textId="77777777">
              <w:tc>
                <w:tcPr>
                  <w:tcW w:w="1131" w:type="dxa"/>
                </w:tcPr>
                <w:p w14:paraId="5FC60270" w14:textId="77777777" w:rsidR="00B37F15" w:rsidRDefault="00000000">
                  <w:pPr>
                    <w:pStyle w:val="Compact"/>
                    <w:jc w:val="center"/>
                  </w:pPr>
                  <w:r>
                    <w:t>Aedes aegypti actin-5C</w:t>
                  </w:r>
                </w:p>
              </w:tc>
              <w:tc>
                <w:tcPr>
                  <w:tcW w:w="1131" w:type="dxa"/>
                </w:tcPr>
                <w:p w14:paraId="4A585A5A" w14:textId="77777777" w:rsidR="00B37F15" w:rsidRDefault="00000000">
                  <w:pPr>
                    <w:pStyle w:val="Compact"/>
                    <w:jc w:val="center"/>
                  </w:pPr>
                  <w:r>
                    <w:t>CGTTCGTGACATCAAGGAAA</w:t>
                  </w:r>
                </w:p>
              </w:tc>
              <w:tc>
                <w:tcPr>
                  <w:tcW w:w="1131" w:type="dxa"/>
                </w:tcPr>
                <w:p w14:paraId="3A8F1C77" w14:textId="77777777" w:rsidR="00B37F15" w:rsidRDefault="00000000">
                  <w:pPr>
                    <w:pStyle w:val="Compact"/>
                    <w:jc w:val="center"/>
                  </w:pPr>
                  <w:r>
                    <w:t>MDS_1826</w:t>
                  </w:r>
                </w:p>
              </w:tc>
              <w:tc>
                <w:tcPr>
                  <w:tcW w:w="1131" w:type="dxa"/>
                </w:tcPr>
                <w:p w14:paraId="1F43DF0B" w14:textId="77777777" w:rsidR="00B37F15" w:rsidRDefault="00000000">
                  <w:pPr>
                    <w:pStyle w:val="Compact"/>
                    <w:jc w:val="center"/>
                  </w:pPr>
                  <w:r>
                    <w:t>GAACGATGGCTGGAAGAGAG</w:t>
                  </w:r>
                </w:p>
              </w:tc>
              <w:tc>
                <w:tcPr>
                  <w:tcW w:w="1131" w:type="dxa"/>
                </w:tcPr>
                <w:p w14:paraId="09D06C5C" w14:textId="77777777" w:rsidR="00B37F15" w:rsidRDefault="00000000">
                  <w:pPr>
                    <w:pStyle w:val="Compact"/>
                    <w:jc w:val="center"/>
                  </w:pPr>
                  <w:r>
                    <w:t>MDS_1827</w:t>
                  </w:r>
                </w:p>
              </w:tc>
              <w:tc>
                <w:tcPr>
                  <w:tcW w:w="1131" w:type="dxa"/>
                </w:tcPr>
                <w:p w14:paraId="1BD9C437" w14:textId="77777777" w:rsidR="00B37F15" w:rsidRDefault="00000000">
                  <w:pPr>
                    <w:pStyle w:val="Compact"/>
                    <w:jc w:val="center"/>
                  </w:pPr>
                  <w:r>
                    <w:t>175</w:t>
                  </w:r>
                </w:p>
              </w:tc>
              <w:tc>
                <w:tcPr>
                  <w:tcW w:w="1131" w:type="dxa"/>
                </w:tcPr>
                <w:p w14:paraId="0C492DB4" w14:textId="77777777" w:rsidR="00B37F15" w:rsidRDefault="00000000">
                  <w:pPr>
                    <w:pStyle w:val="Compact"/>
                    <w:jc w:val="center"/>
                  </w:pPr>
                  <w:r>
                    <w:t>@Dzaki_2017</w:t>
                  </w:r>
                </w:p>
              </w:tc>
            </w:tr>
          </w:tbl>
          <w:p w14:paraId="1976D6B6" w14:textId="77777777" w:rsidR="00B37F15" w:rsidRDefault="00000000">
            <w:pPr>
              <w:pStyle w:val="ImageCaption"/>
              <w:spacing w:before="200"/>
            </w:pPr>
            <w:r>
              <w:t>Supplemental Table 1: Primer sequences used this study.</w:t>
            </w:r>
          </w:p>
        </w:tc>
        <w:bookmarkEnd w:id="93"/>
      </w:tr>
    </w:tbl>
    <w:p w14:paraId="505D60AD" w14:textId="77777777" w:rsidR="00B37F15" w:rsidRDefault="00000000">
      <w:pPr>
        <w:pStyle w:val="Compact"/>
        <w:numPr>
          <w:ilvl w:val="0"/>
          <w:numId w:val="5"/>
        </w:numPr>
      </w:pPr>
      <w:r>
        <w:t>oligo number in our lab’s collection</w:t>
      </w:r>
      <w:bookmarkEnd w:id="0"/>
      <w:bookmarkEnd w:id="23"/>
      <w:bookmarkEnd w:id="92"/>
    </w:p>
    <w:sectPr w:rsidR="00B37F1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rk Stenglein" w:date="2026-06-03T15:53:00Z" w:initials="MS">
    <w:p w14:paraId="42042603" w14:textId="77777777" w:rsidR="00B122F3" w:rsidRDefault="00B122F3" w:rsidP="00B122F3">
      <w:r>
        <w:rPr>
          <w:rStyle w:val="CommentReference"/>
        </w:rPr>
        <w:annotationRef/>
      </w:r>
      <w:r>
        <w:rPr>
          <w:sz w:val="20"/>
          <w:szCs w:val="20"/>
        </w:rPr>
        <w:t>we are double checking our data on this to confirm this is accurate.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426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D35B9C" w16cex:dateUtc="2026-06-03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42603" w16cid:durableId="27D35B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1CBA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97EB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31"/>
    <w:multiLevelType w:val="multilevel"/>
    <w:tmpl w:val="562640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170CD2DE"/>
    <w:multiLevelType w:val="multilevel"/>
    <w:tmpl w:val="70F273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67706655">
    <w:abstractNumId w:val="3"/>
  </w:num>
  <w:num w:numId="2" w16cid:durableId="1429427241">
    <w:abstractNumId w:val="0"/>
  </w:num>
  <w:num w:numId="3" w16cid:durableId="1078092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211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3357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tenglein">
    <w15:presenceInfo w15:providerId="AD" w15:userId="S::mdstengl@colostate.edu::803dea41-9075-4a00-8784-3499d53c0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8D"/>
    <w:rsid w:val="00026D5E"/>
    <w:rsid w:val="00043E53"/>
    <w:rsid w:val="000E5FB7"/>
    <w:rsid w:val="00140366"/>
    <w:rsid w:val="001C502F"/>
    <w:rsid w:val="001F7C51"/>
    <w:rsid w:val="00240AB2"/>
    <w:rsid w:val="0026792D"/>
    <w:rsid w:val="002F50E3"/>
    <w:rsid w:val="00412B6E"/>
    <w:rsid w:val="004D0943"/>
    <w:rsid w:val="0050041B"/>
    <w:rsid w:val="00512801"/>
    <w:rsid w:val="0052715E"/>
    <w:rsid w:val="0056658D"/>
    <w:rsid w:val="005A6801"/>
    <w:rsid w:val="0074457E"/>
    <w:rsid w:val="007454D2"/>
    <w:rsid w:val="00802EA7"/>
    <w:rsid w:val="00834865"/>
    <w:rsid w:val="008C0173"/>
    <w:rsid w:val="008C4501"/>
    <w:rsid w:val="00902314"/>
    <w:rsid w:val="009972AE"/>
    <w:rsid w:val="009C467D"/>
    <w:rsid w:val="00B122F3"/>
    <w:rsid w:val="00B37F15"/>
    <w:rsid w:val="00BA7E0C"/>
    <w:rsid w:val="00BB4FD9"/>
    <w:rsid w:val="00CA3A1C"/>
    <w:rsid w:val="00CB45AC"/>
    <w:rsid w:val="00CC43CD"/>
    <w:rsid w:val="00DD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31C80"/>
  <w15:docId w15:val="{8B4D759A-EDE6-E347-BB43-C2D0736E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457E"/>
    <w:pPr>
      <w:spacing w:line="360" w:lineRule="auto"/>
    </w:pPr>
    <w:rPr>
      <w:rFonts w:ascii="Arial" w:hAnsi="Arial"/>
    </w:rPr>
  </w:style>
  <w:style w:type="paragraph" w:styleId="Heading1">
    <w:name w:val="heading 1"/>
    <w:basedOn w:val="Normal"/>
    <w:next w:val="BodyText"/>
    <w:link w:val="Heading1Char"/>
    <w:uiPriority w:val="9"/>
    <w:qFormat/>
    <w:rsid w:val="00CB45AC"/>
    <w:pPr>
      <w:keepNext/>
      <w:keepLines/>
      <w:spacing w:before="480"/>
      <w:outlineLvl w:val="0"/>
    </w:pPr>
    <w:rPr>
      <w:rFonts w:eastAsiaTheme="majorEastAsia" w:cstheme="majorBidi"/>
      <w:b/>
      <w:sz w:val="28"/>
      <w:szCs w:val="40"/>
    </w:rPr>
  </w:style>
  <w:style w:type="paragraph" w:styleId="Heading2">
    <w:name w:val="heading 2"/>
    <w:basedOn w:val="Normal"/>
    <w:next w:val="BodyText"/>
    <w:link w:val="Heading2Char"/>
    <w:uiPriority w:val="9"/>
    <w:semiHidden/>
    <w:unhideWhenUsed/>
    <w:qFormat/>
    <w:rsid w:val="00CB45AC"/>
    <w:pPr>
      <w:keepNext/>
      <w:keepLines/>
      <w:spacing w:before="2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240AB2"/>
    <w:pPr>
      <w:keepNext/>
      <w:keepLines/>
      <w:spacing w:before="280"/>
      <w:outlineLvl w:val="2"/>
    </w:pPr>
    <w:rPr>
      <w:rFonts w:eastAsiaTheme="majorEastAsia" w:cstheme="majorBidi"/>
      <w:b/>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454D2"/>
    <w:pPr>
      <w:spacing w:before="180" w:after="180"/>
    </w:pPr>
    <w:rPr>
      <w:sz w:val="22"/>
    </w:rPr>
  </w:style>
  <w:style w:type="paragraph" w:customStyle="1" w:styleId="FirstParagraph">
    <w:name w:val="First Paragraph"/>
    <w:basedOn w:val="BodyText"/>
    <w:next w:val="BodyText"/>
    <w:qFormat/>
    <w:rsid w:val="00043E53"/>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26D5E"/>
    <w:pPr>
      <w:spacing w:after="80" w:line="240" w:lineRule="auto"/>
      <w:contextualSpacing/>
      <w:jc w:val="center"/>
    </w:pPr>
    <w:rPr>
      <w:rFonts w:eastAsiaTheme="majorEastAsia" w:cstheme="majorBidi"/>
      <w:sz w:val="56"/>
      <w:szCs w:val="56"/>
    </w:rPr>
  </w:style>
  <w:style w:type="character" w:customStyle="1" w:styleId="TitleChar">
    <w:name w:val="Title Char"/>
    <w:basedOn w:val="DefaultParagraphFont"/>
    <w:link w:val="Title"/>
    <w:uiPriority w:val="10"/>
    <w:rsid w:val="00026D5E"/>
    <w:rPr>
      <w:rFonts w:ascii="Arial" w:eastAsiaTheme="majorEastAsia" w:hAnsi="Arial"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8C4501"/>
    <w:rPr>
      <w:sz w:val="22"/>
    </w:rPr>
  </w:style>
  <w:style w:type="character" w:customStyle="1" w:styleId="Heading1Char">
    <w:name w:val="Heading 1 Char"/>
    <w:basedOn w:val="DefaultParagraphFont"/>
    <w:link w:val="Heading1"/>
    <w:uiPriority w:val="9"/>
    <w:rsid w:val="00CB45AC"/>
    <w:rPr>
      <w:rFonts w:ascii="Arial" w:eastAsiaTheme="majorEastAsia" w:hAnsi="Arial" w:cstheme="majorBidi"/>
      <w:b/>
      <w:sz w:val="28"/>
      <w:szCs w:val="40"/>
    </w:rPr>
  </w:style>
  <w:style w:type="character" w:customStyle="1" w:styleId="Heading2Char">
    <w:name w:val="Heading 2 Char"/>
    <w:basedOn w:val="DefaultParagraphFont"/>
    <w:link w:val="Heading2"/>
    <w:uiPriority w:val="9"/>
    <w:semiHidden/>
    <w:rsid w:val="00CB45AC"/>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240AB2"/>
    <w:rPr>
      <w:rFonts w:ascii="Arial" w:eastAsiaTheme="majorEastAsia" w:hAnsi="Arial" w:cstheme="majorBidi"/>
      <w:b/>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43E53"/>
    <w:rPr>
      <w:sz w:val="22"/>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43E53"/>
    <w:pPr>
      <w:keepNext/>
    </w:pPr>
    <w:rPr>
      <w:sz w:val="22"/>
    </w:rPr>
  </w:style>
  <w:style w:type="paragraph" w:customStyle="1" w:styleId="ImageCaption">
    <w:name w:val="Image Caption"/>
    <w:basedOn w:val="Caption"/>
    <w:rsid w:val="00043E53"/>
    <w:rPr>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043E53"/>
    <w:rPr>
      <w:rFonts w:ascii="Arial" w:hAnsi="Arial"/>
      <w:sz w:val="18"/>
      <w:vertAlign w:val="superscript"/>
    </w:rPr>
  </w:style>
  <w:style w:type="character" w:styleId="Hyperlink">
    <w:name w:val="Hyperlink"/>
    <w:basedOn w:val="CaptionChar"/>
    <w:rsid w:val="00043E53"/>
    <w:rPr>
      <w:rFonts w:ascii="Arial" w:hAnsi="Arial"/>
      <w:color w:val="156082" w:themeColor="accent1"/>
      <w:sz w:val="22"/>
      <w:u w:val="none"/>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character" w:styleId="FollowedHyperlink">
    <w:name w:val="FollowedHyperlink"/>
    <w:basedOn w:val="DefaultParagraphFont"/>
    <w:rsid w:val="00043E53"/>
    <w:rPr>
      <w:color w:val="96607D" w:themeColor="followedHyperlink"/>
      <w:u w:val="single"/>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Strong">
    <w:name w:val="Strong"/>
    <w:basedOn w:val="DefaultParagraphFont"/>
    <w:uiPriority w:val="22"/>
    <w:qFormat/>
    <w:rsid w:val="0052715E"/>
    <w:rPr>
      <w:b/>
      <w:bCs/>
    </w:rPr>
  </w:style>
  <w:style w:type="paragraph" w:styleId="Revision">
    <w:name w:val="Revision"/>
    <w:hidden/>
    <w:rsid w:val="00902314"/>
    <w:pPr>
      <w:spacing w:after="0"/>
    </w:pPr>
    <w:rPr>
      <w:rFonts w:ascii="Arial" w:hAnsi="Arial"/>
    </w:rPr>
  </w:style>
  <w:style w:type="character" w:styleId="CommentReference">
    <w:name w:val="annotation reference"/>
    <w:basedOn w:val="DefaultParagraphFont"/>
    <w:rsid w:val="00B122F3"/>
    <w:rPr>
      <w:sz w:val="16"/>
      <w:szCs w:val="16"/>
    </w:rPr>
  </w:style>
  <w:style w:type="paragraph" w:styleId="CommentText">
    <w:name w:val="annotation text"/>
    <w:basedOn w:val="Normal"/>
    <w:link w:val="CommentTextChar"/>
    <w:rsid w:val="00B122F3"/>
    <w:pPr>
      <w:spacing w:line="240" w:lineRule="auto"/>
    </w:pPr>
    <w:rPr>
      <w:sz w:val="20"/>
      <w:szCs w:val="20"/>
    </w:rPr>
  </w:style>
  <w:style w:type="character" w:customStyle="1" w:styleId="CommentTextChar">
    <w:name w:val="Comment Text Char"/>
    <w:basedOn w:val="DefaultParagraphFont"/>
    <w:link w:val="CommentText"/>
    <w:rsid w:val="00B122F3"/>
    <w:rPr>
      <w:rFonts w:ascii="Arial" w:hAnsi="Arial"/>
      <w:sz w:val="20"/>
      <w:szCs w:val="20"/>
    </w:rPr>
  </w:style>
  <w:style w:type="paragraph" w:styleId="CommentSubject">
    <w:name w:val="annotation subject"/>
    <w:basedOn w:val="CommentText"/>
    <w:next w:val="CommentText"/>
    <w:link w:val="CommentSubjectChar"/>
    <w:rsid w:val="00B122F3"/>
    <w:rPr>
      <w:b/>
      <w:bCs/>
    </w:rPr>
  </w:style>
  <w:style w:type="character" w:customStyle="1" w:styleId="CommentSubjectChar">
    <w:name w:val="Comment Subject Char"/>
    <w:basedOn w:val="CommentTextChar"/>
    <w:link w:val="CommentSubject"/>
    <w:rsid w:val="00B122F3"/>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onehlt.2023.100490" TargetMode="External"/><Relationship Id="rId21" Type="http://schemas.openxmlformats.org/officeDocument/2006/relationships/hyperlink" Target="https://doi.org/10.1016/j.crpvbd.2026.100360" TargetMode="External"/><Relationship Id="rId42" Type="http://schemas.openxmlformats.org/officeDocument/2006/relationships/hyperlink" Target="https://doi.org/10.1016/j.virol.2012.02.016" TargetMode="External"/><Relationship Id="rId47" Type="http://schemas.openxmlformats.org/officeDocument/2006/relationships/hyperlink" Target="https://doi.org/10.1128/jvi.00705-19" TargetMode="External"/><Relationship Id="rId63" Type="http://schemas.openxmlformats.org/officeDocument/2006/relationships/hyperlink" Target="https://doi.org/10.1038/s41586-018-0692-z" TargetMode="External"/><Relationship Id="rId68" Type="http://schemas.openxmlformats.org/officeDocument/2006/relationships/hyperlink" Target="https://doi.org/10.1186/s12864-017-3903-3" TargetMode="External"/><Relationship Id="rId84" Type="http://schemas.openxmlformats.org/officeDocument/2006/relationships/hyperlink" Target="https://doi.org/10.1128/aem.01062-22"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7.png"/><Relationship Id="rId32" Type="http://schemas.openxmlformats.org/officeDocument/2006/relationships/hyperlink" Target="https://doi.org/10.1146/annurev-ento-020117-043033" TargetMode="External"/><Relationship Id="rId37" Type="http://schemas.openxmlformats.org/officeDocument/2006/relationships/hyperlink" Target="https://doi.org/10.1016/j.coviro.2021.04.002" TargetMode="External"/><Relationship Id="rId53" Type="http://schemas.openxmlformats.org/officeDocument/2006/relationships/hyperlink" Target="https://doi.org/10.1128/msystems.00640-20" TargetMode="External"/><Relationship Id="rId58" Type="http://schemas.openxmlformats.org/officeDocument/2006/relationships/hyperlink" Target="https://doi.org/10.1038/s41598-021-86665-6" TargetMode="External"/><Relationship Id="rId74" Type="http://schemas.openxmlformats.org/officeDocument/2006/relationships/hyperlink" Target="https://doi.org/10.3390/v12080866" TargetMode="External"/><Relationship Id="rId79" Type="http://schemas.openxmlformats.org/officeDocument/2006/relationships/hyperlink" Target="https://doi.org/10.1038/s41467-019-08860-4" TargetMode="External"/><Relationship Id="rId5" Type="http://schemas.openxmlformats.org/officeDocument/2006/relationships/image" Target="media/image1.png"/><Relationship Id="rId14" Type="http://schemas.microsoft.com/office/2016/09/relationships/commentsIds" Target="commentsIds.xml"/><Relationship Id="rId22" Type="http://schemas.openxmlformats.org/officeDocument/2006/relationships/hyperlink" Target="https://doi.org/10.3390/v7041927" TargetMode="External"/><Relationship Id="rId27" Type="http://schemas.openxmlformats.org/officeDocument/2006/relationships/hyperlink" Target="https://doi.org/10.3389/fmicb.2025.1624662" TargetMode="External"/><Relationship Id="rId30" Type="http://schemas.openxmlformats.org/officeDocument/2006/relationships/hyperlink" Target="https://doi.org/10.1016/j.virol.2016.07.031" TargetMode="External"/><Relationship Id="rId35" Type="http://schemas.openxmlformats.org/officeDocument/2006/relationships/hyperlink" Target="https://doi.org/10.1186/s40168-019-0734-2" TargetMode="External"/><Relationship Id="rId43" Type="http://schemas.openxmlformats.org/officeDocument/2006/relationships/hyperlink" Target="https://doi.org/10.1099/vir.0.068031-0" TargetMode="External"/><Relationship Id="rId48" Type="http://schemas.openxmlformats.org/officeDocument/2006/relationships/hyperlink" Target="https://doi.org/10.1089/vbz.2020.2692" TargetMode="External"/><Relationship Id="rId56" Type="http://schemas.openxmlformats.org/officeDocument/2006/relationships/hyperlink" Target="https://doi.org/10.1371/journal.pntd.0009746" TargetMode="External"/><Relationship Id="rId64" Type="http://schemas.openxmlformats.org/officeDocument/2006/relationships/hyperlink" Target="https://doi.org/10.1038/nmeth.1923" TargetMode="External"/><Relationship Id="rId69" Type="http://schemas.openxmlformats.org/officeDocument/2006/relationships/hyperlink" Target="https://doi.org/10.1016/j.cub.2017.09.067" TargetMode="External"/><Relationship Id="rId77" Type="http://schemas.openxmlformats.org/officeDocument/2006/relationships/hyperlink" Target="https://doi.org/10.3390/v16091499" TargetMode="External"/><Relationship Id="rId8" Type="http://schemas.openxmlformats.org/officeDocument/2006/relationships/image" Target="media/image4.png"/><Relationship Id="rId51" Type="http://schemas.openxmlformats.org/officeDocument/2006/relationships/hyperlink" Target="https://doi.org/10.1371/journal.ppat.1011588" TargetMode="External"/><Relationship Id="rId72" Type="http://schemas.openxmlformats.org/officeDocument/2006/relationships/hyperlink" Target="https://doi.org/10.1099/jgv.0.000985" TargetMode="External"/><Relationship Id="rId80" Type="http://schemas.openxmlformats.org/officeDocument/2006/relationships/hyperlink" Target="https://doi.org/10.1038/s41467-023-36993-0" TargetMode="External"/><Relationship Id="rId85" Type="http://schemas.openxmlformats.org/officeDocument/2006/relationships/hyperlink" Target="https://doi.org/10.1007/bf01314885" TargetMode="Externa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9.png"/><Relationship Id="rId25" Type="http://schemas.openxmlformats.org/officeDocument/2006/relationships/hyperlink" Target="https://doi.org/10.3390/v11090873" TargetMode="External"/><Relationship Id="rId33" Type="http://schemas.openxmlformats.org/officeDocument/2006/relationships/hyperlink" Target="https://doi.org/10.1016/j.virol.2018.07.029" TargetMode="External"/><Relationship Id="rId38" Type="http://schemas.openxmlformats.org/officeDocument/2006/relationships/hyperlink" Target="https://doi.org/10.1016/j.pt.2024.01.003" TargetMode="External"/><Relationship Id="rId46" Type="http://schemas.openxmlformats.org/officeDocument/2006/relationships/hyperlink" Target="https://doi.org/10.1016/j.virol.2018.03.022" TargetMode="External"/><Relationship Id="rId59" Type="http://schemas.openxmlformats.org/officeDocument/2006/relationships/hyperlink" Target="https://doi.org/10.1038/srep43618" TargetMode="External"/><Relationship Id="rId67" Type="http://schemas.openxmlformats.org/officeDocument/2006/relationships/hyperlink" Target="https://doi.org/10.5281/zenodo.5960048" TargetMode="External"/><Relationship Id="rId20" Type="http://schemas.openxmlformats.org/officeDocument/2006/relationships/hyperlink" Target="https://doi.org/10.1016/j.meegid.2018.11.009" TargetMode="External"/><Relationship Id="rId41" Type="http://schemas.openxmlformats.org/officeDocument/2006/relationships/hyperlink" Target="https://doi.org/10.1016/j.cois.2018.05.009" TargetMode="External"/><Relationship Id="rId54" Type="http://schemas.openxmlformats.org/officeDocument/2006/relationships/hyperlink" Target="https://doi.org/10.1111/mec.16412" TargetMode="External"/><Relationship Id="rId62" Type="http://schemas.openxmlformats.org/officeDocument/2006/relationships/hyperlink" Target="https://doi.org/10.14806/ej.17.1.200" TargetMode="External"/><Relationship Id="rId70" Type="http://schemas.openxmlformats.org/officeDocument/2006/relationships/hyperlink" Target="https://doi.org/10.1007/s00705-019-04247-4" TargetMode="External"/><Relationship Id="rId75" Type="http://schemas.openxmlformats.org/officeDocument/2006/relationships/hyperlink" Target="https://doi.org/10.1038/s41598-021-95842-6" TargetMode="External"/><Relationship Id="rId83" Type="http://schemas.openxmlformats.org/officeDocument/2006/relationships/hyperlink" Target="https://doi.org/10.1098/rspb.2012.1208" TargetMode="External"/><Relationship Id="rId88"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5" Type="http://schemas.microsoft.com/office/2018/08/relationships/commentsExtensible" Target="commentsExtensible.xml"/><Relationship Id="rId23" Type="http://schemas.openxmlformats.org/officeDocument/2006/relationships/hyperlink" Target="https://doi.org/10.3390/v7092851" TargetMode="External"/><Relationship Id="rId28" Type="http://schemas.openxmlformats.org/officeDocument/2006/relationships/hyperlink" Target="https://doi.org/10.1016/0042-6822(75)90113-0" TargetMode="External"/><Relationship Id="rId36" Type="http://schemas.openxmlformats.org/officeDocument/2006/relationships/hyperlink" Target="https://doi.org/10.7554/elife.68353" TargetMode="External"/><Relationship Id="rId49" Type="http://schemas.openxmlformats.org/officeDocument/2006/relationships/hyperlink" Target="https://doi.org/10.1128/mbio.01021-22" TargetMode="External"/><Relationship Id="rId57" Type="http://schemas.openxmlformats.org/officeDocument/2006/relationships/hyperlink" Target="https://doi.org/10.1371/journal.pntd.0007753" TargetMode="External"/><Relationship Id="rId10" Type="http://schemas.openxmlformats.org/officeDocument/2006/relationships/image" Target="media/image6.png"/><Relationship Id="rId31" Type="http://schemas.openxmlformats.org/officeDocument/2006/relationships/hyperlink" Target="https://doi.org/10.1038/nature20167" TargetMode="External"/><Relationship Id="rId44" Type="http://schemas.openxmlformats.org/officeDocument/2006/relationships/hyperlink" Target="https://doi.org/10.3390/v7112911" TargetMode="External"/><Relationship Id="rId52" Type="http://schemas.openxmlformats.org/officeDocument/2006/relationships/hyperlink" Target="https://doi.org/10.1128/jvi.00224-18" TargetMode="External"/><Relationship Id="rId60" Type="http://schemas.openxmlformats.org/officeDocument/2006/relationships/hyperlink" Target="https://doi.org/10.18637/jss.v067.i01" TargetMode="External"/><Relationship Id="rId65" Type="http://schemas.openxmlformats.org/officeDocument/2006/relationships/hyperlink" Target="https://doi.org/10.1002/cpbi.102" TargetMode="External"/><Relationship Id="rId73" Type="http://schemas.openxmlformats.org/officeDocument/2006/relationships/hyperlink" Target="https://doi.org/10.1016/j.virol.2018.12.020" TargetMode="External"/><Relationship Id="rId78" Type="http://schemas.openxmlformats.org/officeDocument/2006/relationships/hyperlink" Target="https://doi.org/10.1002/mrd.22653" TargetMode="External"/><Relationship Id="rId81" Type="http://schemas.openxmlformats.org/officeDocument/2006/relationships/hyperlink" Target="https://doi.org/10.1111/j.1749-6632.1975.tb35099.x" TargetMode="External"/><Relationship Id="rId86" Type="http://schemas.openxmlformats.org/officeDocument/2006/relationships/hyperlink" Target="https://doi.org/10.1056/nejmoa2030243" TargetMode="External"/><Relationship Id="rId4" Type="http://schemas.openxmlformats.org/officeDocument/2006/relationships/webSettings" Target="webSettings.xml"/><Relationship Id="rId9" Type="http://schemas.openxmlformats.org/officeDocument/2006/relationships/image" Target="media/image5.png"/><Relationship Id="rId13" Type="http://schemas.microsoft.com/office/2011/relationships/commentsExtended" Target="commentsExtended.xml"/><Relationship Id="rId18" Type="http://schemas.openxmlformats.org/officeDocument/2006/relationships/image" Target="media/image10.png"/><Relationship Id="rId39" Type="http://schemas.openxmlformats.org/officeDocument/2006/relationships/hyperlink" Target="https://doi.org/10.1016/s0065-3527(06)68010-x" TargetMode="External"/><Relationship Id="rId34" Type="http://schemas.openxmlformats.org/officeDocument/2006/relationships/hyperlink" Target="https://doi.org/10.1038/s41598-018-22945-y" TargetMode="External"/><Relationship Id="rId50" Type="http://schemas.openxmlformats.org/officeDocument/2006/relationships/hyperlink" Target="https://doi.org/10.1038/s41564-022-01289-4" TargetMode="External"/><Relationship Id="rId55" Type="http://schemas.openxmlformats.org/officeDocument/2006/relationships/hyperlink" Target="https://doi.org/10.1371/journal.pntd.0004263" TargetMode="External"/><Relationship Id="rId76" Type="http://schemas.openxmlformats.org/officeDocument/2006/relationships/hyperlink" Target="https://doi.org/10.3390/v16040630" TargetMode="External"/><Relationship Id="rId7" Type="http://schemas.openxmlformats.org/officeDocument/2006/relationships/image" Target="media/image3.png"/><Relationship Id="rId71" Type="http://schemas.openxmlformats.org/officeDocument/2006/relationships/hyperlink" Target="https://doi.org/10.3390/v12111264" TargetMode="External"/><Relationship Id="rId2" Type="http://schemas.openxmlformats.org/officeDocument/2006/relationships/styles" Target="styles.xml"/><Relationship Id="rId29" Type="http://schemas.openxmlformats.org/officeDocument/2006/relationships/hyperlink" Target="https://doi.org/10.1371/journal.pone.0020579" TargetMode="External"/><Relationship Id="rId24" Type="http://schemas.openxmlformats.org/officeDocument/2006/relationships/hyperlink" Target="https://doi.org/10.1016/j.coviro.2015.08.007" TargetMode="External"/><Relationship Id="rId40" Type="http://schemas.openxmlformats.org/officeDocument/2006/relationships/hyperlink" Target="https://doi.org/10.1371/journal.ppat.1000135" TargetMode="External"/><Relationship Id="rId45" Type="http://schemas.openxmlformats.org/officeDocument/2006/relationships/hyperlink" Target="https://doi.org/10.1038/s41426-018-0180-4" TargetMode="External"/><Relationship Id="rId66" Type="http://schemas.openxmlformats.org/officeDocument/2006/relationships/hyperlink" Target="https://doi.org/10.1186/1471-2105-10-421" TargetMode="External"/><Relationship Id="rId87" Type="http://schemas.openxmlformats.org/officeDocument/2006/relationships/fontTable" Target="fontTable.xml"/><Relationship Id="rId61" Type="http://schemas.openxmlformats.org/officeDocument/2006/relationships/hyperlink" Target="https://doi.org/10.1128/jvi.01070-20" TargetMode="External"/><Relationship Id="rId82" Type="http://schemas.openxmlformats.org/officeDocument/2006/relationships/hyperlink" Target="https://doi.org/10.1038/nrmicro1969"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37</Pages>
  <Words>9180</Words>
  <Characters>52330</Characters>
  <Application>Microsoft Office Word</Application>
  <DocSecurity>0</DocSecurity>
  <Lines>436</Lines>
  <Paragraphs>122</Paragraphs>
  <ScaleCrop>false</ScaleCrop>
  <Company/>
  <LinksUpToDate>false</LinksUpToDate>
  <CharactersWithSpaces>61388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Stenglein,Mark</dc:creator>
  <cp:keywords/>
  <cp:lastModifiedBy>Mark Stenglein</cp:lastModifiedBy>
  <cp:revision>11</cp:revision>
  <dcterms:created xsi:type="dcterms:W3CDTF">2026-06-01T23:00:00Z</dcterms:created>
  <dcterms:modified xsi:type="dcterms:W3CDTF">2026-06-03T22:36:00Z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asm.csl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