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C9A33" w14:textId="77777777" w:rsidR="00A30A83" w:rsidRPr="00F02CFC" w:rsidRDefault="00A30A83" w:rsidP="00A30A83">
      <w:pPr>
        <w:numPr>
          <w:ilvl w:val="0"/>
          <w:numId w:val="1"/>
        </w:numPr>
        <w:spacing w:before="120"/>
        <w:ind w:left="0" w:firstLine="0"/>
      </w:pPr>
      <w:r w:rsidRPr="00F02CFC">
        <w:t>Saha, L., Tripathy, H. K., Gaber, T., El-Gohary, H., &amp; El-kenawy, E. S. M. (2023). Deep churn prediction method for telecommunication industry. Sustainability, 15(5), 4543.</w:t>
      </w:r>
    </w:p>
    <w:p w14:paraId="5FC489FD" w14:textId="77777777" w:rsidR="00A30A83" w:rsidRPr="00587C16" w:rsidRDefault="00A30A83" w:rsidP="00A30A83">
      <w:pPr>
        <w:numPr>
          <w:ilvl w:val="0"/>
          <w:numId w:val="1"/>
        </w:numPr>
        <w:spacing w:before="120"/>
        <w:ind w:left="0" w:firstLine="0"/>
      </w:pPr>
      <w:r w:rsidRPr="00F02CFC">
        <w:t>Hason Rudd, D., Huo, H., &amp; Xu, G. (2022). Improved churn causal analysis through restrained high-dimensional feature space effects in financial institutions. Human-Centric Intelligent Systems, 2(3), 70-80.</w:t>
      </w:r>
    </w:p>
    <w:p w14:paraId="11EEAB98" w14:textId="77777777" w:rsidR="00A30A83" w:rsidRPr="00587C16" w:rsidRDefault="00A30A83" w:rsidP="00A30A83">
      <w:pPr>
        <w:numPr>
          <w:ilvl w:val="0"/>
          <w:numId w:val="1"/>
        </w:numPr>
        <w:spacing w:before="120"/>
        <w:ind w:left="0" w:firstLine="0"/>
      </w:pPr>
      <w:r w:rsidRPr="00587C16">
        <w:t>Ceballos, D., López-Álvarez, D., Isaza, G., Tabares-Soto, R., Orozco-Arias, S., &amp; Ferrin, C. D. (2019). A machine learning-based pipeline for the classification of CTX-M in metagenomics samples. Processes, 7(4), 235.</w:t>
      </w:r>
    </w:p>
    <w:p w14:paraId="1A3A02C9" w14:textId="77777777" w:rsidR="00A30A83" w:rsidRPr="000C1467" w:rsidRDefault="00A30A83" w:rsidP="00A30A83">
      <w:pPr>
        <w:numPr>
          <w:ilvl w:val="0"/>
          <w:numId w:val="1"/>
        </w:numPr>
        <w:spacing w:before="120"/>
        <w:ind w:left="0" w:firstLine="0"/>
      </w:pPr>
      <w:r w:rsidRPr="000C1467">
        <w:t>Papernot, N., McDaniel, P., Wu, X., Jha, S., &amp; Swami, A. (2016, May). Distillation as a defense to adversarial perturbations against deep neural networks. In 2016 IEEE symposium on security and privacy (SP) (pp. 582-597). IEEE.</w:t>
      </w:r>
    </w:p>
    <w:p w14:paraId="3E8995A3" w14:textId="77777777" w:rsidR="00A30A83" w:rsidRPr="000C1467" w:rsidRDefault="00A30A83" w:rsidP="00A30A83">
      <w:pPr>
        <w:numPr>
          <w:ilvl w:val="0"/>
          <w:numId w:val="1"/>
        </w:numPr>
        <w:spacing w:before="120"/>
        <w:ind w:left="0" w:firstLine="0"/>
      </w:pPr>
      <w:r w:rsidRPr="000C1467">
        <w:t>Arakawa, R., Takamichi, S., &amp; Saruwatari, H. (2019). Implementation of DNN-based real-time voice conversion and its improvements by audio data augmentation and mask-shaped device. Proc. SSW10, 93-98.</w:t>
      </w:r>
    </w:p>
    <w:p w14:paraId="3F3E6608" w14:textId="77777777" w:rsidR="00A30A83" w:rsidRPr="00842C58" w:rsidRDefault="00A30A83" w:rsidP="00A30A83">
      <w:pPr>
        <w:numPr>
          <w:ilvl w:val="0"/>
          <w:numId w:val="1"/>
        </w:numPr>
        <w:spacing w:before="120"/>
        <w:ind w:left="0" w:firstLine="0"/>
      </w:pPr>
      <w:r w:rsidRPr="000C1467">
        <w:t>Novotny, O., Plchot, O., Matejka, P., &amp; Glembek, O. (2018). On the use of dnn autoencoder for robust speaker recognition. arXiv preprint arXiv:1811.02938.</w:t>
      </w:r>
    </w:p>
    <w:p w14:paraId="57DD1640" w14:textId="77777777" w:rsidR="00A30A83" w:rsidRPr="00842C58" w:rsidRDefault="00A30A83" w:rsidP="00A30A83">
      <w:pPr>
        <w:numPr>
          <w:ilvl w:val="0"/>
          <w:numId w:val="1"/>
        </w:numPr>
        <w:spacing w:before="120"/>
        <w:ind w:left="0" w:firstLine="0"/>
      </w:pPr>
      <w:r w:rsidRPr="00842C58">
        <w:t>Barsotti, A. (2024). PREDICTION AND CAUSAL ANALYSIS OF CHURN IN THE TELECOMMUNICATION DOMAIN.</w:t>
      </w:r>
    </w:p>
    <w:p w14:paraId="57AB6AD1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  <w:rPr>
          <w:rStyle w:val="Hyperlink"/>
          <w:rFonts w:eastAsiaTheme="majorEastAsia"/>
          <w:color w:val="auto"/>
        </w:rPr>
      </w:pPr>
      <w:r w:rsidRPr="00842C58">
        <w:t xml:space="preserve">Office of Electronic Communications (UKE). (2024). Report on the telecommunications market in 2023. Warsaw, Poland. Retrieved from </w:t>
      </w:r>
      <w:hyperlink r:id="rId5" w:history="1">
        <w:r w:rsidRPr="001837D3">
          <w:rPr>
            <w:rStyle w:val="Hyperlink"/>
            <w:rFonts w:eastAsiaTheme="majorEastAsia"/>
          </w:rPr>
          <w:t>https://www.uke.gov.pl/</w:t>
        </w:r>
      </w:hyperlink>
    </w:p>
    <w:p w14:paraId="662DBE66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Durvasula, S. (2024). Advancing AI: The role of causality in decision-making systems. Journal of Artificial Intelligence Research, 58(2), 112-130.</w:t>
      </w:r>
    </w:p>
    <w:p w14:paraId="03EE2D2B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Latos, P., et al. (2024). Causal reasoning in AI: Challenges and opportunities. Proceedings of the International Conference on AI Applications, 45(7), 322-340.</w:t>
      </w:r>
    </w:p>
    <w:p w14:paraId="6347837D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lastRenderedPageBreak/>
        <w:t>Jaimini, P., et al. (2024). Neurosymbolic approaches in causal AI systems. Expert Systems with Applications, 134, 106-115.</w:t>
      </w:r>
    </w:p>
    <w:p w14:paraId="498C4D71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Parkar, M., et al. (2024). Exploring causality in high-stakes AI applications. AI Ethics Journal, 19(1), 45-62.</w:t>
      </w:r>
    </w:p>
    <w:p w14:paraId="2683CBA2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Rawal, S., et al. (2024). Integrating causality into explainable AI frameworks. Machine Learning Review, 72(5), 211-228.</w:t>
      </w:r>
    </w:p>
    <w:p w14:paraId="2927C8B0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Ayesha, S., &amp; Ahamed, R. (2024). Explainable AI in healthcare: Challenges and solutions. Journal of Medical Informatics, 11(3), 184-196.</w:t>
      </w:r>
    </w:p>
    <w:p w14:paraId="764AE2AC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Thakur, P. (2024). Enhancing transparency in AI systems with explainability. Artificial Intelligence and Society, 9(4), 45-57.</w:t>
      </w:r>
    </w:p>
    <w:p w14:paraId="31E6DF6A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Kumar, R., et al. (2024). Feature importance analysis in explainable AI models. International Journal of Data Science, 18(6), 315-328.</w:t>
      </w:r>
    </w:p>
    <w:p w14:paraId="0115B3F6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Kostopoulos, N., et al. (2024). Ethical considerations in explainable AI systems. Ethics in Technology, 15(2), 77-94.</w:t>
      </w:r>
    </w:p>
    <w:p w14:paraId="38A59EAA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Evaluation of Explainable Artificial Intelligence using TOPSIS Method. (2024). International Journal of Decision Sciences, 13(2), 122-138.</w:t>
      </w:r>
    </w:p>
    <w:p w14:paraId="44C49F60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Huang, C. (2009). Applications of artificial neural networks in agriculture and biological engineering. Journal of Agricultural Engineering, 35(4), 78-92.</w:t>
      </w:r>
    </w:p>
    <w:p w14:paraId="4622ECFB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Hashimoto, T., et al. (2020). Artificial intelligence applications in anesthesiology. Journal of Clinical Monitoring, 16(8), 249-268.</w:t>
      </w:r>
    </w:p>
    <w:p w14:paraId="44EA417C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Shahin, M. A., et al. (2001). Artificial neural network applications in geotechnical engineering. Canadian Geotechnical Journal, 38(2), 254-265.</w:t>
      </w:r>
    </w:p>
    <w:p w14:paraId="69DF05E4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t>Ma, J., Yu, Z., Qu, Y., Xu, J., &amp; Cao, Y. (2020). Application of the XGBoost machine learning method in PM2. 5 prediction: a case study of Shanghai. </w:t>
      </w:r>
      <w:r w:rsidRPr="003F1CB9">
        <w:rPr>
          <w:i/>
          <w:iCs/>
        </w:rPr>
        <w:t>Aerosol and Air Quality Research</w:t>
      </w:r>
      <w:r w:rsidRPr="003F1CB9">
        <w:t>, </w:t>
      </w:r>
      <w:r w:rsidRPr="003F1CB9">
        <w:rPr>
          <w:i/>
          <w:iCs/>
        </w:rPr>
        <w:t>20</w:t>
      </w:r>
      <w:r w:rsidRPr="003F1CB9">
        <w:t>(1), 128-138.</w:t>
      </w:r>
    </w:p>
    <w:p w14:paraId="2BF1DF7C" w14:textId="77777777" w:rsidR="00A30A83" w:rsidRPr="003F1CB9" w:rsidRDefault="00A30A83" w:rsidP="00A30A83">
      <w:pPr>
        <w:numPr>
          <w:ilvl w:val="0"/>
          <w:numId w:val="1"/>
        </w:numPr>
        <w:spacing w:before="120"/>
        <w:ind w:left="0" w:firstLine="0"/>
      </w:pPr>
      <w:r w:rsidRPr="003F1CB9">
        <w:lastRenderedPageBreak/>
        <w:t>Zhang, P., Jia, Y., &amp; Shang, Y. (2022). Research and application of XGBoost in imbalanced data. </w:t>
      </w:r>
      <w:r w:rsidRPr="003F1CB9">
        <w:rPr>
          <w:i/>
          <w:iCs/>
        </w:rPr>
        <w:t>International Journal of Distributed Sensor Networks</w:t>
      </w:r>
      <w:r w:rsidRPr="003F1CB9">
        <w:t>, </w:t>
      </w:r>
      <w:r w:rsidRPr="003F1CB9">
        <w:rPr>
          <w:i/>
          <w:iCs/>
        </w:rPr>
        <w:t>18</w:t>
      </w:r>
      <w:r w:rsidRPr="003F1CB9">
        <w:t>(6), 15501329221106935.</w:t>
      </w:r>
    </w:p>
    <w:p w14:paraId="3483B0CB" w14:textId="5B3D206C" w:rsidR="00572D4C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7B6DC3">
        <w:t>Study on XGBoost’s application to network traffic classification in encrypted environments. Based on dataset analysis of a major French ISP. (n.d.). Journal of Network and Computer Applications, 170, 102884. </w:t>
      </w:r>
      <w:hyperlink r:id="rId6" w:tgtFrame="_blank" w:history="1">
        <w:r w:rsidRPr="007B6DC3">
          <w:rPr>
            <w:rStyle w:val="Hyperlink"/>
            <w:rFonts w:eastAsiaTheme="majorEastAsia"/>
          </w:rPr>
          <w:t>https://doi.org/10.1016/j.jnca.2021.102884</w:t>
        </w:r>
      </w:hyperlink>
      <w:r>
        <w:rPr>
          <w:lang w:val="en-US"/>
        </w:rPr>
        <w:t xml:space="preserve"> </w:t>
      </w:r>
    </w:p>
    <w:p w14:paraId="1701F1A1" w14:textId="5FFBAB94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t>Verhelst, T., Caelen, O., Dewitte, J. C., Lebichot, B., &amp; Bontempi, G. (2020). Understanding telecom customer churn with machine learning: from prediction to causal inference. In </w:t>
      </w:r>
      <w:r w:rsidRPr="00A30A83">
        <w:rPr>
          <w:i/>
          <w:iCs/>
        </w:rPr>
        <w:t>Artificial Intelligence and Machine Learning: 31st Benelux AI Conference, BNAIC 2019, and 28th Belgian-Dutch Machine Learning Conference, BENELEARN 2019, Brussels, Belgium, November 6-8, 2019, Revised Selected Papers 28</w:t>
      </w:r>
      <w:r w:rsidRPr="00A30A83">
        <w:t> (pp. 182-200). Springer International Publishing.</w:t>
      </w:r>
    </w:p>
    <w:p w14:paraId="390DD524" w14:textId="52616C92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t>Faritha Banu, J., Neelakandan, S., Geetha, B. T., Selvalakshmi, V., Umadevi, A., &amp; Martinson, E. O. (2022). Artificial intelligence based customer churn prediction model for business markets. </w:t>
      </w:r>
      <w:r w:rsidRPr="00A30A83">
        <w:rPr>
          <w:i/>
          <w:iCs/>
        </w:rPr>
        <w:t>Computational Intelligence and Neuroscience</w:t>
      </w:r>
      <w:r w:rsidRPr="00A30A83">
        <w:t>, </w:t>
      </w:r>
      <w:r w:rsidRPr="00A30A83">
        <w:rPr>
          <w:i/>
          <w:iCs/>
        </w:rPr>
        <w:t>2022</w:t>
      </w:r>
      <w:r w:rsidRPr="00A30A83">
        <w:t>(1), 1703696.</w:t>
      </w:r>
    </w:p>
    <w:p w14:paraId="35F368CA" w14:textId="0951744B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t>Bhanja, S., &amp; Das, A. (2021). Deep neural network for multivariate time-series forecasting. In </w:t>
      </w:r>
      <w:r w:rsidRPr="00A30A83">
        <w:rPr>
          <w:i/>
          <w:iCs/>
        </w:rPr>
        <w:t>Proceedings of International Conference on Frontiers in Computing and Systems: COMSYS 2020</w:t>
      </w:r>
      <w:r w:rsidRPr="00A30A83">
        <w:t> (pp. 267-277). Springer Singapore.</w:t>
      </w:r>
    </w:p>
    <w:p w14:paraId="7B229CC5" w14:textId="56D8177E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t>Ullah, I., Raza, B., Malik, A. K., Imran, M., Islam, S. U., &amp; Kim, S. W. (2019). A churn prediction model using random forest: analysis of machine learning techniques for churn prediction and factor identification in telecom sector. </w:t>
      </w:r>
      <w:r w:rsidRPr="00A30A83">
        <w:rPr>
          <w:i/>
          <w:iCs/>
        </w:rPr>
        <w:t>IEEE access</w:t>
      </w:r>
      <w:r w:rsidRPr="00A30A83">
        <w:t>, </w:t>
      </w:r>
      <w:r w:rsidRPr="00A30A83">
        <w:rPr>
          <w:i/>
          <w:iCs/>
        </w:rPr>
        <w:t>7</w:t>
      </w:r>
      <w:r w:rsidRPr="00A30A83">
        <w:t>, 60134-60149.</w:t>
      </w:r>
    </w:p>
    <w:p w14:paraId="3CA7BF8A" w14:textId="2CF88896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t>Lu, N., Lin, H., Lu, J., &amp; Zhang, G. (2012). A customer churn prediction model in telecom industry using boosting. </w:t>
      </w:r>
      <w:r w:rsidRPr="00A30A83">
        <w:rPr>
          <w:i/>
          <w:iCs/>
        </w:rPr>
        <w:t>IEEE Transactions on Industrial Informatics</w:t>
      </w:r>
      <w:r w:rsidRPr="00A30A83">
        <w:t>, </w:t>
      </w:r>
      <w:r w:rsidRPr="00A30A83">
        <w:rPr>
          <w:i/>
          <w:iCs/>
        </w:rPr>
        <w:t>10</w:t>
      </w:r>
      <w:r w:rsidRPr="00A30A83">
        <w:t>(2), 1659-1665.</w:t>
      </w:r>
    </w:p>
    <w:p w14:paraId="08060615" w14:textId="34D85BFE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t>Dahiya, K., &amp; Bhatia, S. (2015, September). Customer churn analysis in telecom industry. In </w:t>
      </w:r>
      <w:r w:rsidRPr="00A30A83">
        <w:rPr>
          <w:i/>
          <w:iCs/>
        </w:rPr>
        <w:t>2015 4th International Conference on Reliability, Infocom Technologies and Optimization (ICRITO)(Trends and Future Directions)</w:t>
      </w:r>
      <w:r w:rsidRPr="00A30A83">
        <w:t> (pp. 1-6). IEEE.</w:t>
      </w:r>
    </w:p>
    <w:p w14:paraId="4E72ED0C" w14:textId="652938DE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lastRenderedPageBreak/>
        <w:t>Du, S., Lee, J., &amp; Ghaffarizadeh, F. (2019, July). Improve user retention with causal learning. In </w:t>
      </w:r>
      <w:r w:rsidRPr="00A30A83">
        <w:rPr>
          <w:i/>
          <w:iCs/>
        </w:rPr>
        <w:t>The 2019 ACM SIGKDD Workshop on Causal Discovery</w:t>
      </w:r>
      <w:r w:rsidRPr="00A30A83">
        <w:t> (pp. 34-49). PMLR.</w:t>
      </w:r>
    </w:p>
    <w:p w14:paraId="14A84D8D" w14:textId="43A8D806" w:rsidR="00A30A83" w:rsidRPr="00A30A83" w:rsidRDefault="00A30A83" w:rsidP="00A30A83">
      <w:pPr>
        <w:numPr>
          <w:ilvl w:val="0"/>
          <w:numId w:val="1"/>
        </w:numPr>
        <w:spacing w:before="120"/>
        <w:ind w:left="0" w:firstLine="0"/>
      </w:pPr>
      <w:r w:rsidRPr="00A30A83">
        <w:t>Duong, T. D. (2023). </w:t>
      </w:r>
      <w:r w:rsidRPr="00A30A83">
        <w:rPr>
          <w:i/>
          <w:iCs/>
        </w:rPr>
        <w:t>Causality for Interpretable Machine Learning</w:t>
      </w:r>
      <w:r w:rsidRPr="00A30A83">
        <w:t> (Doctoral dissertation).</w:t>
      </w:r>
    </w:p>
    <w:sectPr w:rsidR="00A30A83" w:rsidRPr="00A3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00F2F"/>
    <w:multiLevelType w:val="multilevel"/>
    <w:tmpl w:val="81A4E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857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83"/>
    <w:rsid w:val="000E5287"/>
    <w:rsid w:val="00572D4C"/>
    <w:rsid w:val="008F24CC"/>
    <w:rsid w:val="00994340"/>
    <w:rsid w:val="00A30A83"/>
    <w:rsid w:val="00AD3B7F"/>
    <w:rsid w:val="00B921F7"/>
    <w:rsid w:val="00DB413B"/>
    <w:rsid w:val="00E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E8DDAE"/>
  <w15:chartTrackingRefBased/>
  <w15:docId w15:val="{94181B99-102E-4837-91CD-4D518382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83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6"/>
      <w:szCs w:val="26"/>
      <w:lang w:val="vi"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A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doi.org/10.1016/j.jnca.2021.102884&amp;sa=D&amp;source=docs&amp;ust=1732935213118025&amp;usg=AOvVaw29BHiUtuDLNLqxD1MFyjqi" TargetMode="External"/><Relationship Id="rId5" Type="http://schemas.openxmlformats.org/officeDocument/2006/relationships/hyperlink" Target="https://www.uke.gov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856</Words>
  <Characters>5020</Characters>
  <Application>Microsoft Office Word</Application>
  <DocSecurity>0</DocSecurity>
  <Lines>91</Lines>
  <Paragraphs>32</Paragraphs>
  <ScaleCrop>false</ScaleCrop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Vinh</dc:creator>
  <cp:keywords/>
  <dc:description/>
  <cp:lastModifiedBy>Tieu Vinh</cp:lastModifiedBy>
  <cp:revision>1</cp:revision>
  <dcterms:created xsi:type="dcterms:W3CDTF">2024-12-01T12:24:00Z</dcterms:created>
  <dcterms:modified xsi:type="dcterms:W3CDTF">2024-12-01T12:34:00Z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0d25e18d-aab7-417f-acee-60145964d5c6</vt:lpwstr>
  </property>
</Properties>
</file>