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2DB0" w:rsidRDefault="008B7346">
      <w:pPr>
        <w:widowControl w:val="0"/>
        <w:jc w:val="center"/>
      </w:pPr>
      <w:r>
        <w:rPr>
          <w:b/>
          <w:sz w:val="24"/>
          <w:szCs w:val="24"/>
        </w:rPr>
        <w:t>Biodiversity Information Standards (TDWG) Time and Place Strategy 2012-2017</w:t>
      </w:r>
    </w:p>
    <w:p w:rsidR="00582DB0" w:rsidRDefault="00582DB0">
      <w:pPr>
        <w:widowControl w:val="0"/>
      </w:pPr>
    </w:p>
    <w:p w:rsidR="00582DB0" w:rsidRDefault="008B7346">
      <w:pPr>
        <w:widowControl w:val="0"/>
      </w:pPr>
      <w:r>
        <w:rPr>
          <w:b/>
          <w:sz w:val="24"/>
          <w:szCs w:val="24"/>
        </w:rPr>
        <w:t>The Time and Place Sub-Committee</w:t>
      </w:r>
    </w:p>
    <w:p w:rsidR="0052034A" w:rsidRPr="0052034A" w:rsidRDefault="008B7346" w:rsidP="0052034A">
      <w:pPr>
        <w:widowControl w:val="0"/>
        <w:rPr>
          <w:sz w:val="20"/>
          <w:szCs w:val="20"/>
        </w:rPr>
      </w:pPr>
      <w:r>
        <w:rPr>
          <w:sz w:val="20"/>
          <w:szCs w:val="20"/>
        </w:rPr>
        <w:t>Convener</w:t>
      </w:r>
      <w:bookmarkStart w:id="0" w:name="_GoBack"/>
      <w:bookmarkEnd w:id="0"/>
      <w:r>
        <w:rPr>
          <w:sz w:val="20"/>
          <w:szCs w:val="20"/>
        </w:rPr>
        <w:t xml:space="preserve">: </w:t>
      </w:r>
      <w:r w:rsidR="0052034A">
        <w:rPr>
          <w:sz w:val="20"/>
          <w:szCs w:val="20"/>
        </w:rPr>
        <w:t>Patricia Mergen (</w:t>
      </w:r>
      <w:r w:rsidR="0052034A" w:rsidRPr="0052034A">
        <w:rPr>
          <w:sz w:val="20"/>
          <w:szCs w:val="20"/>
        </w:rPr>
        <w:t xml:space="preserve">Royal Museum for Central Africa and Botanic Garden </w:t>
      </w:r>
      <w:proofErr w:type="spellStart"/>
      <w:r w:rsidR="0052034A" w:rsidRPr="0052034A">
        <w:rPr>
          <w:sz w:val="20"/>
          <w:szCs w:val="20"/>
        </w:rPr>
        <w:t>Meise</w:t>
      </w:r>
      <w:proofErr w:type="spellEnd"/>
      <w:r w:rsidR="0052034A" w:rsidRPr="0052034A">
        <w:rPr>
          <w:sz w:val="20"/>
          <w:szCs w:val="20"/>
        </w:rPr>
        <w:t>, BELGIUM</w:t>
      </w:r>
    </w:p>
    <w:p w:rsidR="0052034A" w:rsidRDefault="008B7346" w:rsidP="0052034A">
      <w:pPr>
        <w:widowControl w:val="0"/>
        <w:rPr>
          <w:sz w:val="20"/>
          <w:szCs w:val="20"/>
        </w:rPr>
      </w:pPr>
      <w:r>
        <w:rPr>
          <w:sz w:val="20"/>
          <w:szCs w:val="20"/>
        </w:rPr>
        <w:t xml:space="preserve">Members: </w:t>
      </w:r>
    </w:p>
    <w:p w:rsidR="0052034A" w:rsidRDefault="0052034A" w:rsidP="0052034A">
      <w:pPr>
        <w:pStyle w:val="ListParagraph"/>
        <w:widowControl w:val="0"/>
        <w:numPr>
          <w:ilvl w:val="0"/>
          <w:numId w:val="6"/>
        </w:numPr>
        <w:rPr>
          <w:sz w:val="20"/>
          <w:szCs w:val="20"/>
        </w:rPr>
      </w:pPr>
      <w:r w:rsidRPr="0052034A">
        <w:rPr>
          <w:sz w:val="20"/>
          <w:szCs w:val="20"/>
        </w:rPr>
        <w:t xml:space="preserve">Eduardo </w:t>
      </w:r>
      <w:proofErr w:type="spellStart"/>
      <w:r w:rsidRPr="0052034A">
        <w:rPr>
          <w:sz w:val="20"/>
          <w:szCs w:val="20"/>
        </w:rPr>
        <w:t>Dalcin</w:t>
      </w:r>
      <w:proofErr w:type="spellEnd"/>
      <w:r w:rsidRPr="0052034A">
        <w:rPr>
          <w:sz w:val="20"/>
          <w:szCs w:val="20"/>
        </w:rPr>
        <w:t xml:space="preserve"> (</w:t>
      </w:r>
      <w:proofErr w:type="spellStart"/>
      <w:r w:rsidRPr="0052034A">
        <w:rPr>
          <w:sz w:val="20"/>
          <w:szCs w:val="20"/>
        </w:rPr>
        <w:t>Instituto</w:t>
      </w:r>
      <w:proofErr w:type="spellEnd"/>
      <w:r w:rsidRPr="0052034A">
        <w:rPr>
          <w:sz w:val="20"/>
          <w:szCs w:val="20"/>
        </w:rPr>
        <w:t xml:space="preserve"> de </w:t>
      </w:r>
      <w:proofErr w:type="spellStart"/>
      <w:r w:rsidRPr="0052034A">
        <w:rPr>
          <w:sz w:val="20"/>
          <w:szCs w:val="20"/>
        </w:rPr>
        <w:t>Pesquisas</w:t>
      </w:r>
      <w:proofErr w:type="spellEnd"/>
      <w:r w:rsidRPr="0052034A">
        <w:rPr>
          <w:sz w:val="20"/>
          <w:szCs w:val="20"/>
        </w:rPr>
        <w:t xml:space="preserve"> </w:t>
      </w:r>
      <w:proofErr w:type="spellStart"/>
      <w:r w:rsidRPr="0052034A">
        <w:rPr>
          <w:sz w:val="20"/>
          <w:szCs w:val="20"/>
        </w:rPr>
        <w:t>Jardim</w:t>
      </w:r>
      <w:proofErr w:type="spellEnd"/>
      <w:r w:rsidRPr="0052034A">
        <w:rPr>
          <w:sz w:val="20"/>
          <w:szCs w:val="20"/>
        </w:rPr>
        <w:t xml:space="preserve"> </w:t>
      </w:r>
      <w:proofErr w:type="spellStart"/>
      <w:r w:rsidRPr="0052034A">
        <w:rPr>
          <w:sz w:val="20"/>
          <w:szCs w:val="20"/>
        </w:rPr>
        <w:t>Botânico</w:t>
      </w:r>
      <w:proofErr w:type="spellEnd"/>
      <w:r w:rsidRPr="0052034A">
        <w:rPr>
          <w:sz w:val="20"/>
          <w:szCs w:val="20"/>
        </w:rPr>
        <w:t xml:space="preserve"> do Rio de Janeiro, BRAZIL</w:t>
      </w:r>
      <w:r w:rsidRPr="0052034A">
        <w:rPr>
          <w:sz w:val="20"/>
          <w:szCs w:val="20"/>
        </w:rPr>
        <w:t xml:space="preserve">, </w:t>
      </w:r>
    </w:p>
    <w:p w:rsidR="0052034A" w:rsidRPr="0052034A" w:rsidRDefault="0052034A" w:rsidP="0052034A">
      <w:pPr>
        <w:pStyle w:val="ListParagraph"/>
        <w:widowControl w:val="0"/>
        <w:numPr>
          <w:ilvl w:val="0"/>
          <w:numId w:val="6"/>
        </w:numPr>
        <w:rPr>
          <w:sz w:val="20"/>
          <w:szCs w:val="20"/>
        </w:rPr>
      </w:pPr>
      <w:proofErr w:type="spellStart"/>
      <w:r>
        <w:t>Pra</w:t>
      </w:r>
      <w:r>
        <w:t>bhakar</w:t>
      </w:r>
      <w:proofErr w:type="spellEnd"/>
      <w:r>
        <w:t xml:space="preserve"> </w:t>
      </w:r>
      <w:proofErr w:type="spellStart"/>
      <w:r>
        <w:t>Rajagopal</w:t>
      </w:r>
      <w:proofErr w:type="spellEnd"/>
      <w:r>
        <w:t xml:space="preserve"> </w:t>
      </w:r>
      <w:r>
        <w:t xml:space="preserve">Strand Life Sciences and </w:t>
      </w:r>
      <w:proofErr w:type="spellStart"/>
      <w:r>
        <w:t>Ashoka</w:t>
      </w:r>
      <w:proofErr w:type="spellEnd"/>
      <w:r>
        <w:t xml:space="preserve"> Trust for Research in Ecology and the Environment (ATREE), Bangalore, INDIA</w:t>
      </w:r>
    </w:p>
    <w:p w:rsidR="00582DB0" w:rsidRDefault="0052034A">
      <w:pPr>
        <w:widowControl w:val="0"/>
      </w:pPr>
      <w:r>
        <w:t xml:space="preserve">Contact </w:t>
      </w:r>
      <w:hyperlink r:id="rId6" w:history="1">
        <w:r w:rsidRPr="0064705F">
          <w:rPr>
            <w:rStyle w:val="Hyperlink"/>
          </w:rPr>
          <w:t>tardis@tdwg.org</w:t>
        </w:r>
      </w:hyperlink>
      <w:r>
        <w:t xml:space="preserve"> </w:t>
      </w:r>
    </w:p>
    <w:p w:rsidR="0052034A" w:rsidRDefault="0052034A">
      <w:pPr>
        <w:widowControl w:val="0"/>
        <w:rPr>
          <w:b/>
          <w:sz w:val="20"/>
          <w:szCs w:val="20"/>
        </w:rPr>
      </w:pPr>
    </w:p>
    <w:p w:rsidR="00582DB0" w:rsidRDefault="008B7346">
      <w:pPr>
        <w:widowControl w:val="0"/>
      </w:pPr>
      <w:r>
        <w:rPr>
          <w:b/>
          <w:sz w:val="20"/>
          <w:szCs w:val="20"/>
        </w:rPr>
        <w:t>Scope</w:t>
      </w:r>
    </w:p>
    <w:p w:rsidR="00582DB0" w:rsidRDefault="008B7346">
      <w:pPr>
        <w:widowControl w:val="0"/>
        <w:ind w:left="360"/>
      </w:pPr>
      <w:r>
        <w:rPr>
          <w:sz w:val="20"/>
          <w:szCs w:val="20"/>
        </w:rPr>
        <w:t>1.     Develop a broad planning document for location and timing of conferences for the next 6 years</w:t>
      </w:r>
    </w:p>
    <w:p w:rsidR="00582DB0" w:rsidRDefault="008B7346">
      <w:pPr>
        <w:widowControl w:val="0"/>
        <w:ind w:left="360"/>
      </w:pPr>
      <w:r>
        <w:rPr>
          <w:sz w:val="20"/>
          <w:szCs w:val="20"/>
        </w:rPr>
        <w:t>2.     Develop process and documents for :</w:t>
      </w:r>
    </w:p>
    <w:p w:rsidR="00582DB0" w:rsidRDefault="008B7346">
      <w:pPr>
        <w:widowControl w:val="0"/>
        <w:numPr>
          <w:ilvl w:val="1"/>
          <w:numId w:val="4"/>
        </w:numPr>
        <w:ind w:hanging="360"/>
        <w:contextualSpacing/>
      </w:pPr>
      <w:r>
        <w:rPr>
          <w:sz w:val="20"/>
          <w:szCs w:val="20"/>
        </w:rPr>
        <w:t>seeking expressions of interest</w:t>
      </w:r>
    </w:p>
    <w:p w:rsidR="00582DB0" w:rsidRDefault="008B7346">
      <w:pPr>
        <w:widowControl w:val="0"/>
        <w:numPr>
          <w:ilvl w:val="1"/>
          <w:numId w:val="4"/>
        </w:numPr>
        <w:ind w:hanging="360"/>
        <w:contextualSpacing/>
      </w:pPr>
      <w:r>
        <w:rPr>
          <w:sz w:val="20"/>
          <w:szCs w:val="20"/>
        </w:rPr>
        <w:t>lodging expressions of interest for hosting conferences</w:t>
      </w:r>
    </w:p>
    <w:p w:rsidR="00582DB0" w:rsidRDefault="008B7346">
      <w:pPr>
        <w:widowControl w:val="0"/>
        <w:numPr>
          <w:ilvl w:val="1"/>
          <w:numId w:val="4"/>
        </w:numPr>
        <w:ind w:hanging="360"/>
        <w:contextualSpacing/>
      </w:pPr>
      <w:r>
        <w:rPr>
          <w:sz w:val="20"/>
          <w:szCs w:val="20"/>
        </w:rPr>
        <w:t xml:space="preserve">selection of conference </w:t>
      </w:r>
      <w:r>
        <w:rPr>
          <w:sz w:val="20"/>
          <w:szCs w:val="20"/>
        </w:rPr>
        <w:t>locations and times</w:t>
      </w:r>
    </w:p>
    <w:p w:rsidR="00582DB0" w:rsidRDefault="008B7346">
      <w:pPr>
        <w:widowControl w:val="0"/>
        <w:numPr>
          <w:ilvl w:val="1"/>
          <w:numId w:val="4"/>
        </w:numPr>
        <w:ind w:hanging="360"/>
        <w:contextualSpacing/>
      </w:pPr>
      <w:r>
        <w:rPr>
          <w:sz w:val="20"/>
          <w:szCs w:val="20"/>
        </w:rPr>
        <w:t>detailed submission by preferred host for final acceptance</w:t>
      </w:r>
    </w:p>
    <w:p w:rsidR="00582DB0" w:rsidRDefault="00582DB0">
      <w:pPr>
        <w:widowControl w:val="0"/>
        <w:ind w:left="360" w:hanging="360"/>
      </w:pPr>
    </w:p>
    <w:p w:rsidR="00582DB0" w:rsidRDefault="008B7346">
      <w:pPr>
        <w:widowControl w:val="0"/>
      </w:pPr>
      <w:r>
        <w:t xml:space="preserve">(Note: </w:t>
      </w:r>
      <w:r>
        <w:rPr>
          <w:sz w:val="20"/>
          <w:szCs w:val="20"/>
        </w:rPr>
        <w:t>Any interactions with other conferences or opportunities of leveraging existing conferences should be part of the detailed submission document.)</w:t>
      </w:r>
    </w:p>
    <w:p w:rsidR="00582DB0" w:rsidRDefault="008B7346">
      <w:pPr>
        <w:widowControl w:val="0"/>
      </w:pPr>
      <w:r>
        <w:rPr>
          <w:sz w:val="20"/>
          <w:szCs w:val="20"/>
        </w:rPr>
        <w:t xml:space="preserve"> </w:t>
      </w:r>
    </w:p>
    <w:p w:rsidR="00582DB0" w:rsidRDefault="008B7346">
      <w:pPr>
        <w:widowControl w:val="0"/>
      </w:pPr>
      <w:r>
        <w:rPr>
          <w:b/>
          <w:sz w:val="20"/>
          <w:szCs w:val="20"/>
        </w:rPr>
        <w:t>Goa</w:t>
      </w:r>
      <w:r>
        <w:rPr>
          <w:sz w:val="20"/>
          <w:szCs w:val="20"/>
        </w:rPr>
        <w:t>l</w:t>
      </w:r>
    </w:p>
    <w:p w:rsidR="00582DB0" w:rsidRDefault="008B7346">
      <w:pPr>
        <w:widowControl w:val="0"/>
      </w:pPr>
      <w:r>
        <w:rPr>
          <w:sz w:val="20"/>
          <w:szCs w:val="20"/>
        </w:rPr>
        <w:t>To establish a si</w:t>
      </w:r>
      <w:r>
        <w:rPr>
          <w:sz w:val="20"/>
          <w:szCs w:val="20"/>
        </w:rPr>
        <w:t>x year rolling plan for the hosting of TDWG meetings, which seeks to expand the influence of TDWG whilst retaining and increasing its core membership base.</w:t>
      </w:r>
    </w:p>
    <w:p w:rsidR="00582DB0" w:rsidRDefault="008B7346">
      <w:pPr>
        <w:widowControl w:val="0"/>
      </w:pPr>
      <w:r>
        <w:rPr>
          <w:sz w:val="20"/>
          <w:szCs w:val="20"/>
        </w:rPr>
        <w:t xml:space="preserve"> </w:t>
      </w:r>
    </w:p>
    <w:p w:rsidR="00582DB0" w:rsidRDefault="008B7346">
      <w:pPr>
        <w:widowControl w:val="0"/>
      </w:pPr>
      <w:r>
        <w:rPr>
          <w:b/>
          <w:sz w:val="20"/>
          <w:szCs w:val="20"/>
        </w:rPr>
        <w:t>Considerations in Achieving the Goal</w:t>
      </w:r>
    </w:p>
    <w:p w:rsidR="00582DB0" w:rsidRDefault="008B7346">
      <w:pPr>
        <w:widowControl w:val="0"/>
        <w:numPr>
          <w:ilvl w:val="0"/>
          <w:numId w:val="5"/>
        </w:numPr>
        <w:ind w:hanging="360"/>
        <w:contextualSpacing/>
      </w:pPr>
      <w:r>
        <w:rPr>
          <w:sz w:val="20"/>
          <w:szCs w:val="20"/>
        </w:rPr>
        <w:t>Expanding the TDWG community</w:t>
      </w:r>
    </w:p>
    <w:p w:rsidR="00582DB0" w:rsidRDefault="008B7346">
      <w:pPr>
        <w:widowControl w:val="0"/>
        <w:numPr>
          <w:ilvl w:val="0"/>
          <w:numId w:val="5"/>
        </w:numPr>
        <w:ind w:hanging="360"/>
        <w:contextualSpacing/>
      </w:pPr>
      <w:r>
        <w:rPr>
          <w:sz w:val="20"/>
          <w:szCs w:val="20"/>
        </w:rPr>
        <w:t>Maintaining existing community</w:t>
      </w:r>
    </w:p>
    <w:p w:rsidR="00582DB0" w:rsidRDefault="008B7346">
      <w:pPr>
        <w:widowControl w:val="0"/>
        <w:numPr>
          <w:ilvl w:val="0"/>
          <w:numId w:val="5"/>
        </w:numPr>
        <w:ind w:hanging="360"/>
        <w:contextualSpacing/>
      </w:pPr>
      <w:r>
        <w:rPr>
          <w:sz w:val="20"/>
          <w:szCs w:val="20"/>
        </w:rPr>
        <w:t>M</w:t>
      </w:r>
      <w:r>
        <w:rPr>
          <w:sz w:val="20"/>
          <w:szCs w:val="20"/>
        </w:rPr>
        <w:t>aintaining functionality of interest and task groups</w:t>
      </w:r>
    </w:p>
    <w:p w:rsidR="00582DB0" w:rsidRDefault="008B7346">
      <w:pPr>
        <w:widowControl w:val="0"/>
        <w:numPr>
          <w:ilvl w:val="0"/>
          <w:numId w:val="5"/>
        </w:numPr>
        <w:ind w:hanging="360"/>
        <w:contextualSpacing/>
      </w:pPr>
      <w:r>
        <w:rPr>
          <w:sz w:val="20"/>
          <w:szCs w:val="20"/>
        </w:rPr>
        <w:t>Taking advantage of funding for hosting opportunities e.g. Africa and JRS</w:t>
      </w:r>
    </w:p>
    <w:p w:rsidR="00582DB0" w:rsidRDefault="008B7346">
      <w:pPr>
        <w:widowControl w:val="0"/>
      </w:pPr>
      <w:r>
        <w:rPr>
          <w:sz w:val="20"/>
          <w:szCs w:val="20"/>
        </w:rPr>
        <w:t xml:space="preserve"> </w:t>
      </w:r>
    </w:p>
    <w:p w:rsidR="00582DB0" w:rsidRDefault="008B7346">
      <w:pPr>
        <w:widowControl w:val="0"/>
        <w:numPr>
          <w:ilvl w:val="0"/>
          <w:numId w:val="1"/>
        </w:numPr>
        <w:ind w:hanging="360"/>
        <w:contextualSpacing/>
      </w:pPr>
      <w:r>
        <w:rPr>
          <w:b/>
          <w:sz w:val="24"/>
          <w:szCs w:val="24"/>
        </w:rPr>
        <w:t>The Strategy for selecting hosts for Future TDWG conferences - a 6 year approach: Broad Planning Document</w:t>
      </w:r>
    </w:p>
    <w:p w:rsidR="00582DB0" w:rsidRDefault="008B7346">
      <w:pPr>
        <w:widowControl w:val="0"/>
      </w:pPr>
      <w:r>
        <w:rPr>
          <w:sz w:val="20"/>
          <w:szCs w:val="20"/>
        </w:rPr>
        <w:t xml:space="preserve"> </w:t>
      </w:r>
    </w:p>
    <w:p w:rsidR="00582DB0" w:rsidRDefault="008B7346">
      <w:pPr>
        <w:widowControl w:val="0"/>
      </w:pPr>
      <w:r>
        <w:rPr>
          <w:b/>
          <w:sz w:val="20"/>
          <w:szCs w:val="20"/>
        </w:rPr>
        <w:t>Background</w:t>
      </w:r>
    </w:p>
    <w:p w:rsidR="00582DB0" w:rsidRDefault="008B7346">
      <w:pPr>
        <w:widowControl w:val="0"/>
      </w:pPr>
      <w:r>
        <w:rPr>
          <w:sz w:val="20"/>
          <w:szCs w:val="20"/>
        </w:rPr>
        <w:t>The Biodiversity Information Standards community spans the six continents of North and South America, Africa, Asia, Europe and Oceania. The majority of members are from North America, Europe and Oceania and this is reflected in the past hosting of meetings</w:t>
      </w:r>
      <w:r>
        <w:rPr>
          <w:sz w:val="20"/>
          <w:szCs w:val="20"/>
        </w:rPr>
        <w:t xml:space="preserve"> by continent. </w:t>
      </w:r>
      <w:r w:rsidR="0052034A">
        <w:rPr>
          <w:sz w:val="20"/>
          <w:szCs w:val="20"/>
        </w:rPr>
        <w:t>Recent statistics show that</w:t>
      </w:r>
      <w:r>
        <w:rPr>
          <w:sz w:val="20"/>
          <w:szCs w:val="20"/>
        </w:rPr>
        <w:t xml:space="preserve">, there have been 10 meetings in North America, 11 in Europe, 4 in Oceania, 1 in each of Asia and South and Central America and </w:t>
      </w:r>
      <w:r w:rsidR="0052034A">
        <w:rPr>
          <w:sz w:val="20"/>
          <w:szCs w:val="20"/>
        </w:rPr>
        <w:t>1</w:t>
      </w:r>
      <w:r>
        <w:rPr>
          <w:sz w:val="20"/>
          <w:szCs w:val="20"/>
        </w:rPr>
        <w:t xml:space="preserve"> in Africa. In the past 10 years there has been 3 in North America, 1 in South and Centra</w:t>
      </w:r>
      <w:r>
        <w:rPr>
          <w:sz w:val="20"/>
          <w:szCs w:val="20"/>
        </w:rPr>
        <w:t>l America, 4 in Europe and 2 in Oceania. In the past 6 years there have been 3 in the Americas (all North) and 2 in Europe and 1 in Oceania.</w:t>
      </w:r>
    </w:p>
    <w:p w:rsidR="00582DB0" w:rsidRDefault="008B7346">
      <w:pPr>
        <w:widowControl w:val="0"/>
      </w:pPr>
      <w:r>
        <w:t xml:space="preserve"> </w:t>
      </w:r>
    </w:p>
    <w:p w:rsidR="00582DB0" w:rsidRDefault="008B7346">
      <w:pPr>
        <w:widowControl w:val="0"/>
      </w:pPr>
      <w:r>
        <w:rPr>
          <w:b/>
          <w:sz w:val="20"/>
          <w:szCs w:val="20"/>
        </w:rPr>
        <w:t>Policy</w:t>
      </w:r>
    </w:p>
    <w:p w:rsidR="00582DB0" w:rsidRDefault="008B7346">
      <w:pPr>
        <w:widowControl w:val="0"/>
      </w:pPr>
      <w:r>
        <w:rPr>
          <w:b/>
          <w:sz w:val="20"/>
          <w:szCs w:val="20"/>
        </w:rPr>
        <w:t>Selection of Continents</w:t>
      </w:r>
    </w:p>
    <w:p w:rsidR="00582DB0" w:rsidRDefault="008B7346">
      <w:pPr>
        <w:widowControl w:val="0"/>
      </w:pPr>
      <w:r>
        <w:rPr>
          <w:sz w:val="20"/>
          <w:szCs w:val="20"/>
        </w:rPr>
        <w:t>This is to be done strategically so that TDWG has a rolling 6 year schedule for id</w:t>
      </w:r>
      <w:r>
        <w:rPr>
          <w:sz w:val="20"/>
          <w:szCs w:val="20"/>
        </w:rPr>
        <w:t xml:space="preserve">entifying the continent </w:t>
      </w:r>
      <w:r>
        <w:rPr>
          <w:sz w:val="20"/>
          <w:szCs w:val="20"/>
        </w:rPr>
        <w:lastRenderedPageBreak/>
        <w:t xml:space="preserve">from which a host is to be selected, with a 3 year rolling plan for identifying the host and location of meetings. The process is to be based around the soliciting of expressions of interest by continents. </w:t>
      </w:r>
    </w:p>
    <w:p w:rsidR="00582DB0" w:rsidRDefault="008B7346">
      <w:pPr>
        <w:widowControl w:val="0"/>
        <w:numPr>
          <w:ilvl w:val="0"/>
          <w:numId w:val="2"/>
        </w:numPr>
        <w:ind w:hanging="360"/>
        <w:contextualSpacing/>
      </w:pPr>
      <w:r>
        <w:rPr>
          <w:sz w:val="20"/>
          <w:szCs w:val="20"/>
        </w:rPr>
        <w:t>The selection of continen</w:t>
      </w:r>
      <w:r>
        <w:rPr>
          <w:sz w:val="20"/>
          <w:szCs w:val="20"/>
        </w:rPr>
        <w:t>ts is flexible and need</w:t>
      </w:r>
      <w:r w:rsidR="0052034A">
        <w:rPr>
          <w:sz w:val="20"/>
          <w:szCs w:val="20"/>
        </w:rPr>
        <w:t>s</w:t>
      </w:r>
      <w:r>
        <w:rPr>
          <w:sz w:val="20"/>
          <w:szCs w:val="20"/>
        </w:rPr>
        <w:t xml:space="preserve"> follow no set pattern but should consider the following :</w:t>
      </w:r>
    </w:p>
    <w:p w:rsidR="00582DB0" w:rsidRDefault="008B7346">
      <w:pPr>
        <w:widowControl w:val="0"/>
        <w:numPr>
          <w:ilvl w:val="1"/>
          <w:numId w:val="2"/>
        </w:numPr>
        <w:ind w:hanging="360"/>
        <w:contextualSpacing/>
      </w:pPr>
      <w:r>
        <w:rPr>
          <w:sz w:val="20"/>
          <w:szCs w:val="20"/>
        </w:rPr>
        <w:t>Context of other meeting localities over the previous decade</w:t>
      </w:r>
    </w:p>
    <w:p w:rsidR="00582DB0" w:rsidRDefault="008B7346">
      <w:pPr>
        <w:widowControl w:val="0"/>
        <w:numPr>
          <w:ilvl w:val="1"/>
          <w:numId w:val="2"/>
        </w:numPr>
        <w:ind w:hanging="360"/>
        <w:contextualSpacing/>
      </w:pPr>
      <w:r>
        <w:rPr>
          <w:sz w:val="20"/>
          <w:szCs w:val="20"/>
        </w:rPr>
        <w:t>The proportion of members by continent</w:t>
      </w:r>
    </w:p>
    <w:p w:rsidR="00582DB0" w:rsidRDefault="008B7346">
      <w:pPr>
        <w:widowControl w:val="0"/>
        <w:numPr>
          <w:ilvl w:val="1"/>
          <w:numId w:val="2"/>
        </w:numPr>
        <w:ind w:hanging="360"/>
        <w:contextualSpacing/>
      </w:pPr>
      <w:r>
        <w:rPr>
          <w:sz w:val="20"/>
          <w:szCs w:val="20"/>
        </w:rPr>
        <w:t>Funding opportunities for meetings</w:t>
      </w:r>
    </w:p>
    <w:p w:rsidR="00582DB0" w:rsidRDefault="008B7346">
      <w:pPr>
        <w:widowControl w:val="0"/>
        <w:numPr>
          <w:ilvl w:val="1"/>
          <w:numId w:val="2"/>
        </w:numPr>
        <w:ind w:hanging="360"/>
        <w:contextualSpacing/>
      </w:pPr>
      <w:r>
        <w:rPr>
          <w:sz w:val="20"/>
          <w:szCs w:val="20"/>
        </w:rPr>
        <w:t>Potential Outreach</w:t>
      </w:r>
    </w:p>
    <w:p w:rsidR="00582DB0" w:rsidRPr="0052034A" w:rsidRDefault="008B7346">
      <w:pPr>
        <w:widowControl w:val="0"/>
        <w:numPr>
          <w:ilvl w:val="1"/>
          <w:numId w:val="2"/>
        </w:numPr>
        <w:ind w:hanging="360"/>
        <w:contextualSpacing/>
      </w:pPr>
      <w:r>
        <w:rPr>
          <w:sz w:val="20"/>
          <w:szCs w:val="20"/>
        </w:rPr>
        <w:t>Potential Membership</w:t>
      </w:r>
      <w:r>
        <w:rPr>
          <w:sz w:val="20"/>
          <w:szCs w:val="20"/>
        </w:rPr>
        <w:t xml:space="preserve"> growth </w:t>
      </w:r>
    </w:p>
    <w:p w:rsidR="0052034A" w:rsidRDefault="0052034A">
      <w:pPr>
        <w:widowControl w:val="0"/>
        <w:numPr>
          <w:ilvl w:val="1"/>
          <w:numId w:val="2"/>
        </w:numPr>
        <w:ind w:hanging="360"/>
        <w:contextualSpacing/>
      </w:pPr>
      <w:r>
        <w:rPr>
          <w:sz w:val="20"/>
          <w:szCs w:val="20"/>
        </w:rPr>
        <w:t>Potential Benefit to organize joint meetings with other organizations</w:t>
      </w:r>
    </w:p>
    <w:p w:rsidR="0052034A" w:rsidRDefault="008B7346" w:rsidP="0052034A">
      <w:pPr>
        <w:widowControl w:val="0"/>
        <w:numPr>
          <w:ilvl w:val="1"/>
          <w:numId w:val="2"/>
        </w:numPr>
        <w:ind w:hanging="360"/>
        <w:contextualSpacing/>
      </w:pPr>
      <w:r>
        <w:rPr>
          <w:sz w:val="20"/>
          <w:szCs w:val="20"/>
        </w:rPr>
        <w:t>Likely meeting attendance</w:t>
      </w:r>
    </w:p>
    <w:p w:rsidR="00582DB0" w:rsidRDefault="008B7346">
      <w:pPr>
        <w:widowControl w:val="0"/>
        <w:numPr>
          <w:ilvl w:val="0"/>
          <w:numId w:val="2"/>
        </w:numPr>
        <w:ind w:hanging="360"/>
        <w:contextualSpacing/>
      </w:pPr>
      <w:r>
        <w:rPr>
          <w:sz w:val="20"/>
          <w:szCs w:val="20"/>
        </w:rPr>
        <w:t xml:space="preserve">The </w:t>
      </w:r>
      <w:r w:rsidR="0052034A">
        <w:rPr>
          <w:sz w:val="20"/>
          <w:szCs w:val="20"/>
        </w:rPr>
        <w:t xml:space="preserve">preferred </w:t>
      </w:r>
      <w:r>
        <w:rPr>
          <w:sz w:val="20"/>
          <w:szCs w:val="20"/>
        </w:rPr>
        <w:t xml:space="preserve">selection of continents </w:t>
      </w:r>
      <w:r w:rsidR="0052034A">
        <w:rPr>
          <w:sz w:val="20"/>
          <w:szCs w:val="20"/>
        </w:rPr>
        <w:t>should</w:t>
      </w:r>
      <w:r>
        <w:rPr>
          <w:sz w:val="20"/>
          <w:szCs w:val="20"/>
        </w:rPr>
        <w:t xml:space="preserve"> be identified 6 years in advance</w:t>
      </w:r>
    </w:p>
    <w:p w:rsidR="00582DB0" w:rsidRDefault="008B7346">
      <w:pPr>
        <w:widowControl w:val="0"/>
        <w:numPr>
          <w:ilvl w:val="1"/>
          <w:numId w:val="2"/>
        </w:numPr>
        <w:ind w:hanging="360"/>
        <w:contextualSpacing/>
      </w:pPr>
      <w:r>
        <w:rPr>
          <w:sz w:val="20"/>
          <w:szCs w:val="20"/>
        </w:rPr>
        <w:t>the 6 year program of continents is to be featured prominently on the TDWG website</w:t>
      </w:r>
    </w:p>
    <w:p w:rsidR="00582DB0" w:rsidRDefault="008B7346">
      <w:pPr>
        <w:widowControl w:val="0"/>
        <w:numPr>
          <w:ilvl w:val="1"/>
          <w:numId w:val="2"/>
        </w:numPr>
        <w:ind w:hanging="360"/>
        <w:contextualSpacing/>
      </w:pPr>
      <w:r>
        <w:rPr>
          <w:sz w:val="20"/>
          <w:szCs w:val="20"/>
        </w:rPr>
        <w:t xml:space="preserve">the 6 year program of continents is to be announced each year at </w:t>
      </w:r>
      <w:r>
        <w:rPr>
          <w:sz w:val="20"/>
          <w:szCs w:val="20"/>
        </w:rPr>
        <w:t>TDWG’s annual meeting</w:t>
      </w:r>
    </w:p>
    <w:p w:rsidR="00582DB0" w:rsidRDefault="008B7346">
      <w:pPr>
        <w:widowControl w:val="0"/>
      </w:pPr>
      <w:r>
        <w:rPr>
          <w:b/>
          <w:sz w:val="20"/>
          <w:szCs w:val="20"/>
        </w:rPr>
        <w:t>Selection of hosts</w:t>
      </w:r>
      <w:r>
        <w:rPr>
          <w:sz w:val="20"/>
          <w:szCs w:val="20"/>
        </w:rPr>
        <w:t xml:space="preserve"> </w:t>
      </w:r>
      <w:r>
        <w:rPr>
          <w:b/>
          <w:sz w:val="20"/>
          <w:szCs w:val="20"/>
        </w:rPr>
        <w:t xml:space="preserve">within continents </w:t>
      </w:r>
    </w:p>
    <w:p w:rsidR="00582DB0" w:rsidRDefault="008B7346">
      <w:pPr>
        <w:widowControl w:val="0"/>
        <w:numPr>
          <w:ilvl w:val="0"/>
          <w:numId w:val="3"/>
        </w:numPr>
        <w:ind w:hanging="360"/>
        <w:contextualSpacing/>
      </w:pPr>
      <w:r>
        <w:rPr>
          <w:sz w:val="20"/>
          <w:szCs w:val="20"/>
        </w:rPr>
        <w:t>The hosts, time and place for meetings should be established in writing 3 years in advance.</w:t>
      </w:r>
    </w:p>
    <w:p w:rsidR="00582DB0" w:rsidRDefault="008B7346">
      <w:pPr>
        <w:widowControl w:val="0"/>
        <w:numPr>
          <w:ilvl w:val="0"/>
          <w:numId w:val="3"/>
        </w:numPr>
        <w:ind w:hanging="360"/>
        <w:contextualSpacing/>
      </w:pPr>
      <w:r>
        <w:rPr>
          <w:sz w:val="20"/>
          <w:szCs w:val="20"/>
        </w:rPr>
        <w:t>To achieve this requires the following steps</w:t>
      </w:r>
      <w:r>
        <w:rPr>
          <w:sz w:val="20"/>
          <w:szCs w:val="20"/>
        </w:rPr>
        <w:t xml:space="preserve"> involving the TDWG Exec but driven by the Time and Place Committee (refer to Table below for timing):</w:t>
      </w:r>
    </w:p>
    <w:p w:rsidR="00582DB0" w:rsidRDefault="008B7346">
      <w:pPr>
        <w:widowControl w:val="0"/>
        <w:numPr>
          <w:ilvl w:val="1"/>
          <w:numId w:val="3"/>
        </w:numPr>
        <w:ind w:hanging="360"/>
        <w:contextualSpacing/>
      </w:pPr>
      <w:r>
        <w:rPr>
          <w:sz w:val="20"/>
          <w:szCs w:val="20"/>
        </w:rPr>
        <w:t xml:space="preserve">Call for expressions of interest </w:t>
      </w:r>
      <w:r w:rsidR="0052034A">
        <w:rPr>
          <w:sz w:val="20"/>
          <w:szCs w:val="20"/>
        </w:rPr>
        <w:t>(EOI) 4</w:t>
      </w:r>
      <w:r>
        <w:rPr>
          <w:sz w:val="20"/>
          <w:szCs w:val="20"/>
        </w:rPr>
        <w:t xml:space="preserve"> years prior to the target year of the meeting </w:t>
      </w:r>
    </w:p>
    <w:p w:rsidR="00582DB0" w:rsidRDefault="008B7346">
      <w:pPr>
        <w:widowControl w:val="0"/>
        <w:numPr>
          <w:ilvl w:val="1"/>
          <w:numId w:val="3"/>
        </w:numPr>
        <w:ind w:hanging="360"/>
        <w:contextualSpacing/>
      </w:pPr>
      <w:r>
        <w:rPr>
          <w:sz w:val="20"/>
          <w:szCs w:val="20"/>
        </w:rPr>
        <w:t xml:space="preserve">Submission of </w:t>
      </w:r>
      <w:proofErr w:type="spellStart"/>
      <w:r>
        <w:rPr>
          <w:sz w:val="20"/>
          <w:szCs w:val="20"/>
        </w:rPr>
        <w:t>EoI</w:t>
      </w:r>
      <w:proofErr w:type="spellEnd"/>
      <w:r>
        <w:rPr>
          <w:sz w:val="20"/>
          <w:szCs w:val="20"/>
        </w:rPr>
        <w:t xml:space="preserve"> by potential hosts no later than</w:t>
      </w:r>
      <w:r>
        <w:rPr>
          <w:sz w:val="20"/>
          <w:szCs w:val="20"/>
        </w:rPr>
        <w:t xml:space="preserve"> 4 months after the current year’s TDWG meeting</w:t>
      </w:r>
    </w:p>
    <w:p w:rsidR="00582DB0" w:rsidRDefault="008B7346">
      <w:pPr>
        <w:widowControl w:val="0"/>
        <w:numPr>
          <w:ilvl w:val="1"/>
          <w:numId w:val="3"/>
        </w:numPr>
        <w:ind w:hanging="360"/>
        <w:contextualSpacing/>
      </w:pPr>
      <w:r>
        <w:rPr>
          <w:sz w:val="20"/>
          <w:szCs w:val="20"/>
        </w:rPr>
        <w:t>TDWG Exec to review and select the successful bidder by January three years prior to target year of meeting</w:t>
      </w:r>
    </w:p>
    <w:p w:rsidR="00582DB0" w:rsidRDefault="008B7346">
      <w:pPr>
        <w:widowControl w:val="0"/>
        <w:numPr>
          <w:ilvl w:val="1"/>
          <w:numId w:val="3"/>
        </w:numPr>
        <w:ind w:hanging="360"/>
        <w:contextualSpacing/>
      </w:pPr>
      <w:r>
        <w:rPr>
          <w:sz w:val="20"/>
          <w:szCs w:val="20"/>
        </w:rPr>
        <w:t xml:space="preserve">Request a letter of intent to host the meeting from the host institution by March three years prior </w:t>
      </w:r>
      <w:r>
        <w:rPr>
          <w:sz w:val="20"/>
          <w:szCs w:val="20"/>
        </w:rPr>
        <w:t>to meeting</w:t>
      </w:r>
    </w:p>
    <w:p w:rsidR="00582DB0" w:rsidRDefault="008B7346">
      <w:pPr>
        <w:widowControl w:val="0"/>
        <w:numPr>
          <w:ilvl w:val="1"/>
          <w:numId w:val="3"/>
        </w:numPr>
        <w:ind w:hanging="360"/>
        <w:contextualSpacing/>
      </w:pPr>
      <w:r>
        <w:rPr>
          <w:sz w:val="20"/>
          <w:szCs w:val="20"/>
        </w:rPr>
        <w:t>Preliminary proposal for hosting the meeting by June, three years prior to year of meeting,</w:t>
      </w:r>
    </w:p>
    <w:p w:rsidR="00582DB0" w:rsidRDefault="008B7346">
      <w:pPr>
        <w:widowControl w:val="0"/>
        <w:numPr>
          <w:ilvl w:val="1"/>
          <w:numId w:val="3"/>
        </w:numPr>
        <w:ind w:hanging="360"/>
        <w:contextualSpacing/>
      </w:pPr>
      <w:r>
        <w:rPr>
          <w:sz w:val="20"/>
          <w:szCs w:val="20"/>
        </w:rPr>
        <w:t>Announce host at TDWG meeting three years prior to target year of the meeting.</w:t>
      </w:r>
    </w:p>
    <w:p w:rsidR="00582DB0" w:rsidRDefault="008B7346">
      <w:pPr>
        <w:widowControl w:val="0"/>
        <w:numPr>
          <w:ilvl w:val="1"/>
          <w:numId w:val="3"/>
        </w:numPr>
        <w:ind w:hanging="360"/>
        <w:contextualSpacing/>
      </w:pPr>
      <w:r>
        <w:rPr>
          <w:sz w:val="20"/>
          <w:szCs w:val="20"/>
        </w:rPr>
        <w:t>At least one representative of the successful host will attend TDWG meetin</w:t>
      </w:r>
      <w:r>
        <w:rPr>
          <w:sz w:val="20"/>
          <w:szCs w:val="20"/>
        </w:rPr>
        <w:t>gs and be available to meet with the Exec and report to membership on plans for the meeting.</w:t>
      </w:r>
    </w:p>
    <w:p w:rsidR="00582DB0" w:rsidRDefault="008B7346">
      <w:pPr>
        <w:widowControl w:val="0"/>
        <w:numPr>
          <w:ilvl w:val="1"/>
          <w:numId w:val="3"/>
        </w:numPr>
        <w:ind w:hanging="360"/>
        <w:contextualSpacing/>
      </w:pPr>
      <w:r>
        <w:rPr>
          <w:sz w:val="20"/>
          <w:szCs w:val="20"/>
        </w:rPr>
        <w:t>Final proposal submission (including detailed hotel/meeting costs) should be submitted in January the year before the target year of the meeting</w:t>
      </w:r>
    </w:p>
    <w:p w:rsidR="00582DB0" w:rsidRDefault="008B7346">
      <w:pPr>
        <w:widowControl w:val="0"/>
        <w:numPr>
          <w:ilvl w:val="1"/>
          <w:numId w:val="3"/>
        </w:numPr>
        <w:ind w:hanging="360"/>
        <w:contextualSpacing/>
      </w:pPr>
      <w:r>
        <w:rPr>
          <w:sz w:val="20"/>
          <w:szCs w:val="20"/>
        </w:rPr>
        <w:t>Acceptance of full</w:t>
      </w:r>
      <w:r>
        <w:rPr>
          <w:sz w:val="20"/>
          <w:szCs w:val="20"/>
        </w:rPr>
        <w:t xml:space="preserve"> submission no later than 2 months before the meeting the year before hosting. Committees chosen</w:t>
      </w:r>
    </w:p>
    <w:p w:rsidR="00582DB0" w:rsidRDefault="008B7346">
      <w:pPr>
        <w:widowControl w:val="0"/>
        <w:numPr>
          <w:ilvl w:val="1"/>
          <w:numId w:val="3"/>
        </w:numPr>
        <w:ind w:hanging="360"/>
        <w:contextualSpacing/>
      </w:pPr>
      <w:r>
        <w:rPr>
          <w:sz w:val="20"/>
          <w:szCs w:val="20"/>
        </w:rPr>
        <w:t>Host of the upcoming meeting invited to attend the current year’s meeting and make presentations (opening/closing sessions) to encourage/invite conferees to at</w:t>
      </w:r>
      <w:r>
        <w:rPr>
          <w:sz w:val="20"/>
          <w:szCs w:val="20"/>
        </w:rPr>
        <w:t xml:space="preserve">tend the next meeting. </w:t>
      </w:r>
    </w:p>
    <w:p w:rsidR="00582DB0" w:rsidRDefault="008B7346">
      <w:pPr>
        <w:widowControl w:val="0"/>
        <w:numPr>
          <w:ilvl w:val="1"/>
          <w:numId w:val="3"/>
        </w:numPr>
        <w:ind w:hanging="360"/>
        <w:contextualSpacing/>
      </w:pPr>
      <w:r>
        <w:rPr>
          <w:sz w:val="20"/>
          <w:szCs w:val="20"/>
        </w:rPr>
        <w:t>Selection of program Committee and local organizing Committee prior to meeting year before hosting for announcement at that meeting.</w:t>
      </w:r>
    </w:p>
    <w:p w:rsidR="00582DB0" w:rsidRDefault="008B7346">
      <w:pPr>
        <w:widowControl w:val="0"/>
        <w:numPr>
          <w:ilvl w:val="1"/>
          <w:numId w:val="3"/>
        </w:numPr>
        <w:ind w:hanging="360"/>
        <w:contextualSpacing/>
      </w:pPr>
      <w:r>
        <w:rPr>
          <w:sz w:val="20"/>
          <w:szCs w:val="20"/>
        </w:rPr>
        <w:t>Responsibilities of the Place/time sub-Committee cease and are handed to the local arrangements and</w:t>
      </w:r>
      <w:r>
        <w:rPr>
          <w:sz w:val="20"/>
          <w:szCs w:val="20"/>
        </w:rPr>
        <w:t xml:space="preserve"> program committees.  A preselected Program Chair and Local Arrangements Chair should be involved in the selection process so that a seamless handoff from Time/Place Committee is achieved</w:t>
      </w:r>
    </w:p>
    <w:p w:rsidR="00582DB0" w:rsidRDefault="008B7346">
      <w:pPr>
        <w:widowControl w:val="0"/>
        <w:numPr>
          <w:ilvl w:val="1"/>
          <w:numId w:val="3"/>
        </w:numPr>
        <w:ind w:hanging="360"/>
        <w:contextualSpacing/>
      </w:pPr>
      <w:r>
        <w:rPr>
          <w:sz w:val="20"/>
          <w:szCs w:val="20"/>
        </w:rPr>
        <w:t>if a chosen host withdraws the situation will be treated on a case b</w:t>
      </w:r>
      <w:r>
        <w:rPr>
          <w:sz w:val="20"/>
          <w:szCs w:val="20"/>
        </w:rPr>
        <w:t xml:space="preserve">y case basis. The only real deterrent we have to withdrawal is the associated embarrassment that would cause for them in the international community. </w:t>
      </w:r>
    </w:p>
    <w:p w:rsidR="00582DB0" w:rsidRDefault="008B7346">
      <w:pPr>
        <w:widowControl w:val="0"/>
        <w:numPr>
          <w:ilvl w:val="1"/>
          <w:numId w:val="3"/>
        </w:numPr>
        <w:ind w:hanging="360"/>
        <w:contextualSpacing/>
      </w:pPr>
      <w:r>
        <w:rPr>
          <w:sz w:val="20"/>
          <w:szCs w:val="20"/>
        </w:rPr>
        <w:t>Failing to meet the requirements at any stage of the negotiation process will require the TDWG Exec to wo</w:t>
      </w:r>
      <w:r>
        <w:rPr>
          <w:sz w:val="20"/>
          <w:szCs w:val="20"/>
        </w:rPr>
        <w:t xml:space="preserve">rk closely with the host to get matters back in hand. </w:t>
      </w:r>
    </w:p>
    <w:p w:rsidR="00582DB0" w:rsidRDefault="00582DB0">
      <w:pPr>
        <w:widowControl w:val="0"/>
        <w:ind w:left="720"/>
      </w:pPr>
    </w:p>
    <w:p w:rsidR="00582DB0" w:rsidRDefault="00582DB0">
      <w:pPr>
        <w:widowControl w:val="0"/>
      </w:pPr>
    </w:p>
    <w:p w:rsidR="00582DB0" w:rsidRDefault="00582DB0">
      <w:pPr>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582DB0">
        <w:tc>
          <w:tcPr>
            <w:tcW w:w="1560" w:type="dxa"/>
            <w:tcMar>
              <w:top w:w="100" w:type="dxa"/>
              <w:left w:w="100" w:type="dxa"/>
              <w:bottom w:w="100" w:type="dxa"/>
              <w:right w:w="100" w:type="dxa"/>
            </w:tcMar>
          </w:tcPr>
          <w:p w:rsidR="00582DB0" w:rsidRDefault="008B7346">
            <w:pPr>
              <w:widowControl w:val="0"/>
              <w:spacing w:line="240" w:lineRule="auto"/>
            </w:pPr>
            <w:r>
              <w:rPr>
                <w:sz w:val="20"/>
                <w:szCs w:val="20"/>
              </w:rPr>
              <w:t>Timeframe</w:t>
            </w:r>
          </w:p>
        </w:tc>
        <w:tc>
          <w:tcPr>
            <w:tcW w:w="1560" w:type="dxa"/>
            <w:tcMar>
              <w:top w:w="100" w:type="dxa"/>
              <w:left w:w="100" w:type="dxa"/>
              <w:bottom w:w="100" w:type="dxa"/>
              <w:right w:w="100" w:type="dxa"/>
            </w:tcMar>
          </w:tcPr>
          <w:p w:rsidR="00582DB0" w:rsidRDefault="008B7346">
            <w:pPr>
              <w:widowControl w:val="0"/>
              <w:spacing w:line="240" w:lineRule="auto"/>
            </w:pPr>
            <w:r>
              <w:rPr>
                <w:sz w:val="20"/>
                <w:szCs w:val="20"/>
              </w:rPr>
              <w:t>TDWG minus 4</w:t>
            </w:r>
          </w:p>
        </w:tc>
        <w:tc>
          <w:tcPr>
            <w:tcW w:w="1560" w:type="dxa"/>
            <w:tcMar>
              <w:top w:w="100" w:type="dxa"/>
              <w:left w:w="100" w:type="dxa"/>
              <w:bottom w:w="100" w:type="dxa"/>
              <w:right w:w="100" w:type="dxa"/>
            </w:tcMar>
          </w:tcPr>
          <w:p w:rsidR="00582DB0" w:rsidRDefault="008B7346">
            <w:pPr>
              <w:widowControl w:val="0"/>
              <w:spacing w:line="240" w:lineRule="auto"/>
            </w:pPr>
            <w:r>
              <w:rPr>
                <w:sz w:val="20"/>
                <w:szCs w:val="20"/>
              </w:rPr>
              <w:t>TDWG minus 3</w:t>
            </w:r>
          </w:p>
        </w:tc>
        <w:tc>
          <w:tcPr>
            <w:tcW w:w="1560" w:type="dxa"/>
            <w:tcMar>
              <w:top w:w="100" w:type="dxa"/>
              <w:left w:w="100" w:type="dxa"/>
              <w:bottom w:w="100" w:type="dxa"/>
              <w:right w:w="100" w:type="dxa"/>
            </w:tcMar>
          </w:tcPr>
          <w:p w:rsidR="00582DB0" w:rsidRDefault="008B7346">
            <w:pPr>
              <w:widowControl w:val="0"/>
              <w:spacing w:line="240" w:lineRule="auto"/>
            </w:pPr>
            <w:r>
              <w:rPr>
                <w:sz w:val="20"/>
                <w:szCs w:val="20"/>
              </w:rPr>
              <w:t>TDWG minus 2</w:t>
            </w:r>
          </w:p>
        </w:tc>
        <w:tc>
          <w:tcPr>
            <w:tcW w:w="1560" w:type="dxa"/>
            <w:tcMar>
              <w:top w:w="100" w:type="dxa"/>
              <w:left w:w="100" w:type="dxa"/>
              <w:bottom w:w="100" w:type="dxa"/>
              <w:right w:w="100" w:type="dxa"/>
            </w:tcMar>
          </w:tcPr>
          <w:p w:rsidR="00582DB0" w:rsidRDefault="008B7346">
            <w:pPr>
              <w:widowControl w:val="0"/>
              <w:spacing w:line="240" w:lineRule="auto"/>
            </w:pPr>
            <w:r>
              <w:rPr>
                <w:sz w:val="20"/>
                <w:szCs w:val="20"/>
              </w:rPr>
              <w:t>TDWG minus 1</w:t>
            </w:r>
          </w:p>
        </w:tc>
        <w:tc>
          <w:tcPr>
            <w:tcW w:w="1560" w:type="dxa"/>
            <w:tcMar>
              <w:top w:w="100" w:type="dxa"/>
              <w:left w:w="100" w:type="dxa"/>
              <w:bottom w:w="100" w:type="dxa"/>
              <w:right w:w="100" w:type="dxa"/>
            </w:tcMar>
          </w:tcPr>
          <w:p w:rsidR="00582DB0" w:rsidRDefault="008B7346">
            <w:pPr>
              <w:widowControl w:val="0"/>
              <w:spacing w:line="240" w:lineRule="auto"/>
            </w:pPr>
            <w:r>
              <w:rPr>
                <w:sz w:val="20"/>
                <w:szCs w:val="20"/>
              </w:rPr>
              <w:t>TDWG</w:t>
            </w:r>
          </w:p>
        </w:tc>
      </w:tr>
      <w:tr w:rsidR="00582DB0">
        <w:tc>
          <w:tcPr>
            <w:tcW w:w="1560" w:type="dxa"/>
            <w:tcMar>
              <w:top w:w="100" w:type="dxa"/>
              <w:left w:w="100" w:type="dxa"/>
              <w:bottom w:w="100" w:type="dxa"/>
              <w:right w:w="100" w:type="dxa"/>
            </w:tcMar>
          </w:tcPr>
          <w:p w:rsidR="00582DB0" w:rsidRDefault="008B7346">
            <w:pPr>
              <w:widowControl w:val="0"/>
              <w:spacing w:line="240" w:lineRule="auto"/>
            </w:pPr>
            <w:r>
              <w:rPr>
                <w:sz w:val="20"/>
                <w:szCs w:val="20"/>
              </w:rPr>
              <w:t>Conference</w:t>
            </w:r>
          </w:p>
        </w:tc>
        <w:tc>
          <w:tcPr>
            <w:tcW w:w="1560" w:type="dxa"/>
            <w:tcMar>
              <w:top w:w="100" w:type="dxa"/>
              <w:left w:w="100" w:type="dxa"/>
              <w:bottom w:w="100" w:type="dxa"/>
              <w:right w:w="100" w:type="dxa"/>
            </w:tcMar>
          </w:tcPr>
          <w:p w:rsidR="00582DB0" w:rsidRDefault="008B7346">
            <w:pPr>
              <w:widowControl w:val="0"/>
              <w:spacing w:line="240" w:lineRule="auto"/>
            </w:pPr>
            <w:r>
              <w:rPr>
                <w:sz w:val="20"/>
                <w:szCs w:val="20"/>
              </w:rPr>
              <w:t xml:space="preserve"> a. Call for </w:t>
            </w:r>
            <w:proofErr w:type="spellStart"/>
            <w:r>
              <w:rPr>
                <w:sz w:val="20"/>
                <w:szCs w:val="20"/>
              </w:rPr>
              <w:t>EoI</w:t>
            </w:r>
            <w:proofErr w:type="spellEnd"/>
          </w:p>
        </w:tc>
        <w:tc>
          <w:tcPr>
            <w:tcW w:w="1560" w:type="dxa"/>
            <w:tcMar>
              <w:top w:w="100" w:type="dxa"/>
              <w:left w:w="100" w:type="dxa"/>
              <w:bottom w:w="100" w:type="dxa"/>
              <w:right w:w="100" w:type="dxa"/>
            </w:tcMar>
          </w:tcPr>
          <w:p w:rsidR="00582DB0" w:rsidRDefault="008B7346">
            <w:pPr>
              <w:widowControl w:val="0"/>
              <w:spacing w:line="240" w:lineRule="auto"/>
            </w:pPr>
            <w:r>
              <w:rPr>
                <w:sz w:val="20"/>
                <w:szCs w:val="20"/>
              </w:rPr>
              <w:t xml:space="preserve">f. Announce host and location. </w:t>
            </w:r>
          </w:p>
          <w:p w:rsidR="00582DB0" w:rsidRDefault="008B7346">
            <w:pPr>
              <w:widowControl w:val="0"/>
              <w:spacing w:line="240" w:lineRule="auto"/>
            </w:pPr>
            <w:r>
              <w:rPr>
                <w:sz w:val="20"/>
                <w:szCs w:val="20"/>
              </w:rPr>
              <w:t>g. Meet with Exec</w:t>
            </w:r>
          </w:p>
        </w:tc>
        <w:tc>
          <w:tcPr>
            <w:tcW w:w="1560" w:type="dxa"/>
            <w:tcMar>
              <w:top w:w="100" w:type="dxa"/>
              <w:left w:w="100" w:type="dxa"/>
              <w:bottom w:w="100" w:type="dxa"/>
              <w:right w:w="100" w:type="dxa"/>
            </w:tcMar>
          </w:tcPr>
          <w:p w:rsidR="00582DB0" w:rsidRDefault="008B7346">
            <w:pPr>
              <w:widowControl w:val="0"/>
              <w:spacing w:line="240" w:lineRule="auto"/>
            </w:pPr>
            <w:r>
              <w:rPr>
                <w:sz w:val="20"/>
                <w:szCs w:val="20"/>
              </w:rPr>
              <w:t xml:space="preserve">g. Meet with Exec to confirm progress </w:t>
            </w:r>
          </w:p>
        </w:tc>
        <w:tc>
          <w:tcPr>
            <w:tcW w:w="1560" w:type="dxa"/>
            <w:tcMar>
              <w:top w:w="100" w:type="dxa"/>
              <w:left w:w="100" w:type="dxa"/>
              <w:bottom w:w="100" w:type="dxa"/>
              <w:right w:w="100" w:type="dxa"/>
            </w:tcMar>
          </w:tcPr>
          <w:p w:rsidR="00582DB0" w:rsidRDefault="008B7346">
            <w:pPr>
              <w:widowControl w:val="0"/>
              <w:spacing w:line="240" w:lineRule="auto"/>
            </w:pPr>
            <w:r>
              <w:rPr>
                <w:sz w:val="20"/>
                <w:szCs w:val="20"/>
              </w:rPr>
              <w:t xml:space="preserve">j. Host presents invitation to TDWG meeting. </w:t>
            </w:r>
          </w:p>
          <w:p w:rsidR="00582DB0" w:rsidRDefault="008B7346">
            <w:pPr>
              <w:widowControl w:val="0"/>
              <w:spacing w:line="240" w:lineRule="auto"/>
            </w:pPr>
            <w:r>
              <w:rPr>
                <w:sz w:val="20"/>
                <w:szCs w:val="20"/>
              </w:rPr>
              <w:t xml:space="preserve">k. Program and local </w:t>
            </w:r>
            <w:proofErr w:type="spellStart"/>
            <w:r>
              <w:rPr>
                <w:sz w:val="20"/>
                <w:szCs w:val="20"/>
              </w:rPr>
              <w:t>organising</w:t>
            </w:r>
            <w:proofErr w:type="spellEnd"/>
            <w:r>
              <w:rPr>
                <w:sz w:val="20"/>
                <w:szCs w:val="20"/>
              </w:rPr>
              <w:t xml:space="preserve">  committees identified.</w:t>
            </w:r>
          </w:p>
          <w:p w:rsidR="00582DB0" w:rsidRDefault="008B7346">
            <w:pPr>
              <w:widowControl w:val="0"/>
              <w:spacing w:line="240" w:lineRule="auto"/>
            </w:pPr>
            <w:r>
              <w:rPr>
                <w:sz w:val="20"/>
                <w:szCs w:val="20"/>
              </w:rPr>
              <w:t>l. Time and Place committee hands over to Local Arrangements committee</w:t>
            </w:r>
          </w:p>
        </w:tc>
        <w:tc>
          <w:tcPr>
            <w:tcW w:w="1560" w:type="dxa"/>
            <w:tcMar>
              <w:top w:w="100" w:type="dxa"/>
              <w:left w:w="100" w:type="dxa"/>
              <w:bottom w:w="100" w:type="dxa"/>
              <w:right w:w="100" w:type="dxa"/>
            </w:tcMar>
          </w:tcPr>
          <w:p w:rsidR="00582DB0" w:rsidRDefault="00582DB0">
            <w:pPr>
              <w:widowControl w:val="0"/>
              <w:spacing w:line="240" w:lineRule="auto"/>
            </w:pPr>
          </w:p>
        </w:tc>
      </w:tr>
      <w:tr w:rsidR="00582DB0">
        <w:tc>
          <w:tcPr>
            <w:tcW w:w="1560" w:type="dxa"/>
            <w:tcMar>
              <w:top w:w="100" w:type="dxa"/>
              <w:left w:w="100" w:type="dxa"/>
              <w:bottom w:w="100" w:type="dxa"/>
              <w:right w:w="100" w:type="dxa"/>
            </w:tcMar>
          </w:tcPr>
          <w:p w:rsidR="00582DB0" w:rsidRDefault="008B7346">
            <w:pPr>
              <w:widowControl w:val="0"/>
              <w:spacing w:line="240" w:lineRule="auto"/>
            </w:pPr>
            <w:r>
              <w:rPr>
                <w:sz w:val="20"/>
                <w:szCs w:val="20"/>
              </w:rPr>
              <w:t>Within 4 months</w:t>
            </w:r>
          </w:p>
        </w:tc>
        <w:tc>
          <w:tcPr>
            <w:tcW w:w="1560" w:type="dxa"/>
            <w:tcMar>
              <w:top w:w="100" w:type="dxa"/>
              <w:left w:w="100" w:type="dxa"/>
              <w:bottom w:w="100" w:type="dxa"/>
              <w:right w:w="100" w:type="dxa"/>
            </w:tcMar>
          </w:tcPr>
          <w:p w:rsidR="00582DB0" w:rsidRDefault="008B7346">
            <w:pPr>
              <w:widowControl w:val="0"/>
              <w:spacing w:line="240" w:lineRule="auto"/>
            </w:pPr>
            <w:r>
              <w:rPr>
                <w:sz w:val="20"/>
                <w:szCs w:val="20"/>
              </w:rPr>
              <w:t xml:space="preserve">b. Submission of </w:t>
            </w:r>
            <w:proofErr w:type="spellStart"/>
            <w:r>
              <w:rPr>
                <w:sz w:val="20"/>
                <w:szCs w:val="20"/>
              </w:rPr>
              <w:t>EoI’s</w:t>
            </w:r>
            <w:proofErr w:type="spellEnd"/>
            <w:r>
              <w:rPr>
                <w:sz w:val="20"/>
                <w:szCs w:val="20"/>
              </w:rPr>
              <w:t xml:space="preserve"> due</w:t>
            </w:r>
          </w:p>
        </w:tc>
        <w:tc>
          <w:tcPr>
            <w:tcW w:w="1560" w:type="dxa"/>
            <w:tcMar>
              <w:top w:w="100" w:type="dxa"/>
              <w:left w:w="100" w:type="dxa"/>
              <w:bottom w:w="100" w:type="dxa"/>
              <w:right w:w="100" w:type="dxa"/>
            </w:tcMar>
          </w:tcPr>
          <w:p w:rsidR="00582DB0" w:rsidRDefault="00582DB0">
            <w:pPr>
              <w:widowControl w:val="0"/>
              <w:spacing w:line="240" w:lineRule="auto"/>
            </w:pPr>
          </w:p>
        </w:tc>
        <w:tc>
          <w:tcPr>
            <w:tcW w:w="1560" w:type="dxa"/>
            <w:tcMar>
              <w:top w:w="100" w:type="dxa"/>
              <w:left w:w="100" w:type="dxa"/>
              <w:bottom w:w="100" w:type="dxa"/>
              <w:right w:w="100" w:type="dxa"/>
            </w:tcMar>
          </w:tcPr>
          <w:p w:rsidR="00582DB0" w:rsidRDefault="00582DB0">
            <w:pPr>
              <w:widowControl w:val="0"/>
              <w:spacing w:line="240" w:lineRule="auto"/>
            </w:pPr>
          </w:p>
        </w:tc>
        <w:tc>
          <w:tcPr>
            <w:tcW w:w="1560" w:type="dxa"/>
            <w:tcMar>
              <w:top w:w="100" w:type="dxa"/>
              <w:left w:w="100" w:type="dxa"/>
              <w:bottom w:w="100" w:type="dxa"/>
              <w:right w:w="100" w:type="dxa"/>
            </w:tcMar>
          </w:tcPr>
          <w:p w:rsidR="00582DB0" w:rsidRDefault="008B7346">
            <w:pPr>
              <w:widowControl w:val="0"/>
              <w:spacing w:line="240" w:lineRule="auto"/>
            </w:pPr>
            <w:r>
              <w:rPr>
                <w:sz w:val="20"/>
                <w:szCs w:val="20"/>
              </w:rPr>
              <w:t xml:space="preserve">Program committee begins works with </w:t>
            </w:r>
            <w:r>
              <w:rPr>
                <w:sz w:val="20"/>
                <w:szCs w:val="20"/>
              </w:rPr>
              <w:t xml:space="preserve">local </w:t>
            </w:r>
            <w:proofErr w:type="spellStart"/>
            <w:r>
              <w:rPr>
                <w:sz w:val="20"/>
                <w:szCs w:val="20"/>
              </w:rPr>
              <w:t>organising</w:t>
            </w:r>
            <w:proofErr w:type="spellEnd"/>
            <w:r>
              <w:rPr>
                <w:sz w:val="20"/>
                <w:szCs w:val="20"/>
              </w:rPr>
              <w:t xml:space="preserve"> committee</w:t>
            </w:r>
          </w:p>
        </w:tc>
        <w:tc>
          <w:tcPr>
            <w:tcW w:w="1560" w:type="dxa"/>
            <w:tcMar>
              <w:top w:w="100" w:type="dxa"/>
              <w:left w:w="100" w:type="dxa"/>
              <w:bottom w:w="100" w:type="dxa"/>
              <w:right w:w="100" w:type="dxa"/>
            </w:tcMar>
          </w:tcPr>
          <w:p w:rsidR="00582DB0" w:rsidRDefault="00582DB0">
            <w:pPr>
              <w:widowControl w:val="0"/>
              <w:spacing w:line="240" w:lineRule="auto"/>
            </w:pPr>
          </w:p>
        </w:tc>
      </w:tr>
      <w:tr w:rsidR="00582DB0">
        <w:tc>
          <w:tcPr>
            <w:tcW w:w="1560" w:type="dxa"/>
            <w:tcMar>
              <w:top w:w="100" w:type="dxa"/>
              <w:left w:w="100" w:type="dxa"/>
              <w:bottom w:w="100" w:type="dxa"/>
              <w:right w:w="100" w:type="dxa"/>
            </w:tcMar>
          </w:tcPr>
          <w:p w:rsidR="00582DB0" w:rsidRDefault="008B7346">
            <w:pPr>
              <w:widowControl w:val="0"/>
              <w:spacing w:line="240" w:lineRule="auto"/>
            </w:pPr>
            <w:r>
              <w:rPr>
                <w:sz w:val="20"/>
                <w:szCs w:val="20"/>
              </w:rPr>
              <w:t>Within 6 months</w:t>
            </w:r>
          </w:p>
        </w:tc>
        <w:tc>
          <w:tcPr>
            <w:tcW w:w="1560" w:type="dxa"/>
            <w:tcMar>
              <w:top w:w="100" w:type="dxa"/>
              <w:left w:w="100" w:type="dxa"/>
              <w:bottom w:w="100" w:type="dxa"/>
              <w:right w:w="100" w:type="dxa"/>
            </w:tcMar>
          </w:tcPr>
          <w:p w:rsidR="00582DB0" w:rsidRDefault="008B7346">
            <w:pPr>
              <w:widowControl w:val="0"/>
              <w:spacing w:line="240" w:lineRule="auto"/>
            </w:pPr>
            <w:r>
              <w:rPr>
                <w:sz w:val="20"/>
                <w:szCs w:val="20"/>
              </w:rPr>
              <w:t xml:space="preserve">c. Review </w:t>
            </w:r>
            <w:proofErr w:type="spellStart"/>
            <w:r>
              <w:rPr>
                <w:sz w:val="20"/>
                <w:szCs w:val="20"/>
              </w:rPr>
              <w:t>EoI’s</w:t>
            </w:r>
            <w:proofErr w:type="spellEnd"/>
            <w:r>
              <w:rPr>
                <w:sz w:val="20"/>
                <w:szCs w:val="20"/>
              </w:rPr>
              <w:t xml:space="preserve"> and select successful bidder.</w:t>
            </w:r>
          </w:p>
          <w:p w:rsidR="00582DB0" w:rsidRDefault="008B7346">
            <w:pPr>
              <w:widowControl w:val="0"/>
              <w:spacing w:line="240" w:lineRule="auto"/>
            </w:pPr>
            <w:r>
              <w:rPr>
                <w:sz w:val="20"/>
                <w:szCs w:val="20"/>
              </w:rPr>
              <w:t>d. Request letter of intent from host institution</w:t>
            </w:r>
          </w:p>
        </w:tc>
        <w:tc>
          <w:tcPr>
            <w:tcW w:w="1560" w:type="dxa"/>
            <w:tcMar>
              <w:top w:w="100" w:type="dxa"/>
              <w:left w:w="100" w:type="dxa"/>
              <w:bottom w:w="100" w:type="dxa"/>
              <w:right w:w="100" w:type="dxa"/>
            </w:tcMar>
          </w:tcPr>
          <w:p w:rsidR="00582DB0" w:rsidRDefault="00582DB0">
            <w:pPr>
              <w:widowControl w:val="0"/>
              <w:spacing w:line="240" w:lineRule="auto"/>
            </w:pPr>
          </w:p>
        </w:tc>
        <w:tc>
          <w:tcPr>
            <w:tcW w:w="1560" w:type="dxa"/>
            <w:tcMar>
              <w:top w:w="100" w:type="dxa"/>
              <w:left w:w="100" w:type="dxa"/>
              <w:bottom w:w="100" w:type="dxa"/>
              <w:right w:w="100" w:type="dxa"/>
            </w:tcMar>
          </w:tcPr>
          <w:p w:rsidR="00582DB0" w:rsidRDefault="008B7346">
            <w:pPr>
              <w:widowControl w:val="0"/>
              <w:spacing w:line="240" w:lineRule="auto"/>
            </w:pPr>
            <w:r>
              <w:rPr>
                <w:sz w:val="20"/>
                <w:szCs w:val="20"/>
              </w:rPr>
              <w:t>h. Full Proposal due</w:t>
            </w:r>
          </w:p>
        </w:tc>
        <w:tc>
          <w:tcPr>
            <w:tcW w:w="1560" w:type="dxa"/>
            <w:tcMar>
              <w:top w:w="100" w:type="dxa"/>
              <w:left w:w="100" w:type="dxa"/>
              <w:bottom w:w="100" w:type="dxa"/>
              <w:right w:w="100" w:type="dxa"/>
            </w:tcMar>
          </w:tcPr>
          <w:p w:rsidR="00582DB0" w:rsidRDefault="00582DB0">
            <w:pPr>
              <w:widowControl w:val="0"/>
              <w:spacing w:line="240" w:lineRule="auto"/>
            </w:pPr>
          </w:p>
        </w:tc>
        <w:tc>
          <w:tcPr>
            <w:tcW w:w="1560" w:type="dxa"/>
            <w:tcMar>
              <w:top w:w="100" w:type="dxa"/>
              <w:left w:w="100" w:type="dxa"/>
              <w:bottom w:w="100" w:type="dxa"/>
              <w:right w:w="100" w:type="dxa"/>
            </w:tcMar>
          </w:tcPr>
          <w:p w:rsidR="00582DB0" w:rsidRDefault="00582DB0">
            <w:pPr>
              <w:widowControl w:val="0"/>
              <w:spacing w:line="240" w:lineRule="auto"/>
            </w:pPr>
          </w:p>
        </w:tc>
      </w:tr>
      <w:tr w:rsidR="00582DB0">
        <w:tc>
          <w:tcPr>
            <w:tcW w:w="1560" w:type="dxa"/>
            <w:tcMar>
              <w:top w:w="100" w:type="dxa"/>
              <w:left w:w="100" w:type="dxa"/>
              <w:bottom w:w="100" w:type="dxa"/>
              <w:right w:w="100" w:type="dxa"/>
            </w:tcMar>
          </w:tcPr>
          <w:p w:rsidR="00582DB0" w:rsidRDefault="008B7346">
            <w:pPr>
              <w:widowControl w:val="0"/>
              <w:spacing w:line="240" w:lineRule="auto"/>
            </w:pPr>
            <w:r>
              <w:rPr>
                <w:sz w:val="20"/>
                <w:szCs w:val="20"/>
              </w:rPr>
              <w:t>Within 10 months</w:t>
            </w:r>
          </w:p>
        </w:tc>
        <w:tc>
          <w:tcPr>
            <w:tcW w:w="1560" w:type="dxa"/>
            <w:tcMar>
              <w:top w:w="100" w:type="dxa"/>
              <w:left w:w="100" w:type="dxa"/>
              <w:bottom w:w="100" w:type="dxa"/>
              <w:right w:w="100" w:type="dxa"/>
            </w:tcMar>
          </w:tcPr>
          <w:p w:rsidR="00582DB0" w:rsidRDefault="008B7346">
            <w:pPr>
              <w:widowControl w:val="0"/>
              <w:spacing w:line="240" w:lineRule="auto"/>
            </w:pPr>
            <w:r>
              <w:rPr>
                <w:sz w:val="20"/>
                <w:szCs w:val="20"/>
              </w:rPr>
              <w:t>e. Preliminary proposal due</w:t>
            </w:r>
          </w:p>
        </w:tc>
        <w:tc>
          <w:tcPr>
            <w:tcW w:w="1560" w:type="dxa"/>
            <w:tcMar>
              <w:top w:w="100" w:type="dxa"/>
              <w:left w:w="100" w:type="dxa"/>
              <w:bottom w:w="100" w:type="dxa"/>
              <w:right w:w="100" w:type="dxa"/>
            </w:tcMar>
          </w:tcPr>
          <w:p w:rsidR="00582DB0" w:rsidRDefault="00582DB0">
            <w:pPr>
              <w:widowControl w:val="0"/>
              <w:spacing w:line="240" w:lineRule="auto"/>
            </w:pPr>
          </w:p>
        </w:tc>
        <w:tc>
          <w:tcPr>
            <w:tcW w:w="1560" w:type="dxa"/>
            <w:tcMar>
              <w:top w:w="100" w:type="dxa"/>
              <w:left w:w="100" w:type="dxa"/>
              <w:bottom w:w="100" w:type="dxa"/>
              <w:right w:w="100" w:type="dxa"/>
            </w:tcMar>
          </w:tcPr>
          <w:p w:rsidR="00582DB0" w:rsidRDefault="008B7346">
            <w:pPr>
              <w:widowControl w:val="0"/>
              <w:spacing w:line="240" w:lineRule="auto"/>
            </w:pPr>
            <w:proofErr w:type="spellStart"/>
            <w:r>
              <w:rPr>
                <w:sz w:val="20"/>
                <w:szCs w:val="20"/>
              </w:rPr>
              <w:t>i</w:t>
            </w:r>
            <w:proofErr w:type="spellEnd"/>
            <w:r>
              <w:rPr>
                <w:sz w:val="20"/>
                <w:szCs w:val="20"/>
              </w:rPr>
              <w:t>. Full proposal accepted</w:t>
            </w:r>
          </w:p>
          <w:p w:rsidR="00582DB0" w:rsidRDefault="008B7346">
            <w:pPr>
              <w:widowControl w:val="0"/>
              <w:spacing w:line="240" w:lineRule="auto"/>
            </w:pPr>
            <w:r>
              <w:rPr>
                <w:sz w:val="20"/>
                <w:szCs w:val="20"/>
              </w:rPr>
              <w:t xml:space="preserve"> Program and local </w:t>
            </w:r>
            <w:proofErr w:type="spellStart"/>
            <w:r>
              <w:rPr>
                <w:sz w:val="20"/>
                <w:szCs w:val="20"/>
              </w:rPr>
              <w:t>organising</w:t>
            </w:r>
            <w:proofErr w:type="spellEnd"/>
            <w:r>
              <w:rPr>
                <w:sz w:val="20"/>
                <w:szCs w:val="20"/>
              </w:rPr>
              <w:t xml:space="preserve"> committees chosen</w:t>
            </w:r>
          </w:p>
        </w:tc>
        <w:tc>
          <w:tcPr>
            <w:tcW w:w="1560" w:type="dxa"/>
            <w:tcMar>
              <w:top w:w="100" w:type="dxa"/>
              <w:left w:w="100" w:type="dxa"/>
              <w:bottom w:w="100" w:type="dxa"/>
              <w:right w:w="100" w:type="dxa"/>
            </w:tcMar>
          </w:tcPr>
          <w:p w:rsidR="00582DB0" w:rsidRDefault="00582DB0">
            <w:pPr>
              <w:widowControl w:val="0"/>
              <w:spacing w:line="240" w:lineRule="auto"/>
            </w:pPr>
          </w:p>
        </w:tc>
        <w:tc>
          <w:tcPr>
            <w:tcW w:w="1560" w:type="dxa"/>
            <w:tcMar>
              <w:top w:w="100" w:type="dxa"/>
              <w:left w:w="100" w:type="dxa"/>
              <w:bottom w:w="100" w:type="dxa"/>
              <w:right w:w="100" w:type="dxa"/>
            </w:tcMar>
          </w:tcPr>
          <w:p w:rsidR="00582DB0" w:rsidRDefault="00582DB0">
            <w:pPr>
              <w:widowControl w:val="0"/>
              <w:spacing w:line="240" w:lineRule="auto"/>
            </w:pPr>
          </w:p>
        </w:tc>
      </w:tr>
    </w:tbl>
    <w:p w:rsidR="00582DB0" w:rsidRDefault="00582DB0">
      <w:pPr>
        <w:widowControl w:val="0"/>
      </w:pPr>
    </w:p>
    <w:p w:rsidR="00582DB0" w:rsidRDefault="00582DB0">
      <w:pPr>
        <w:widowControl w:val="0"/>
      </w:pPr>
    </w:p>
    <w:p w:rsidR="00582DB0" w:rsidRDefault="008B7346">
      <w:pPr>
        <w:widowControl w:val="0"/>
      </w:pPr>
      <w:r>
        <w:rPr>
          <w:b/>
          <w:sz w:val="20"/>
          <w:szCs w:val="20"/>
        </w:rPr>
        <w:t>Implementation</w:t>
      </w:r>
    </w:p>
    <w:p w:rsidR="00582DB0" w:rsidRDefault="008B7346">
      <w:pPr>
        <w:widowControl w:val="0"/>
      </w:pPr>
      <w:r>
        <w:rPr>
          <w:sz w:val="20"/>
          <w:szCs w:val="20"/>
        </w:rPr>
        <w:t xml:space="preserve">Over the past 10 years the meeting locations have been focused in the strongholds of TDWG - USA, Europe and Oceania. The next 10 years provides the opportunity to broaden the impact and community </w:t>
      </w:r>
      <w:r>
        <w:rPr>
          <w:sz w:val="20"/>
          <w:szCs w:val="20"/>
        </w:rPr>
        <w:lastRenderedPageBreak/>
        <w:t>base of TDWG whilst ensuring that the core membership is wel</w:t>
      </w:r>
      <w:r>
        <w:rPr>
          <w:sz w:val="20"/>
          <w:szCs w:val="20"/>
        </w:rPr>
        <w:t>l served and maintained.</w:t>
      </w:r>
    </w:p>
    <w:p w:rsidR="00582DB0" w:rsidRDefault="008B7346">
      <w:pPr>
        <w:widowControl w:val="0"/>
      </w:pPr>
      <w:r>
        <w:rPr>
          <w:sz w:val="20"/>
          <w:szCs w:val="20"/>
        </w:rPr>
        <w:t>With this in mind we recommend that the next 6 years we visit all 6 continents with the ensuing 4 years being used to either consolidate gains made or return to our core constituency if membership gains in the continents of Asia an</w:t>
      </w:r>
      <w:r>
        <w:rPr>
          <w:sz w:val="20"/>
          <w:szCs w:val="20"/>
        </w:rPr>
        <w:t>d Africa are not sufficiently realized.</w:t>
      </w:r>
    </w:p>
    <w:p w:rsidR="00582DB0" w:rsidRDefault="00582DB0">
      <w:pPr>
        <w:widowControl w:val="0"/>
      </w:pPr>
    </w:p>
    <w:p w:rsidR="00582DB0" w:rsidRDefault="008B7346">
      <w:pPr>
        <w:widowControl w:val="0"/>
        <w:rPr>
          <w:sz w:val="20"/>
          <w:szCs w:val="20"/>
        </w:rPr>
      </w:pPr>
      <w:r>
        <w:rPr>
          <w:sz w:val="20"/>
          <w:szCs w:val="20"/>
        </w:rPr>
        <w:t>The identification of a 6 year hosting schedule has many benefits for both TDWG as an organization and for our members :</w:t>
      </w:r>
    </w:p>
    <w:p w:rsidR="0065067F" w:rsidRDefault="0065067F">
      <w:pPr>
        <w:widowControl w:val="0"/>
      </w:pPr>
    </w:p>
    <w:p w:rsidR="00582DB0" w:rsidRDefault="008B7346">
      <w:pPr>
        <w:widowControl w:val="0"/>
      </w:pPr>
      <w:r>
        <w:rPr>
          <w:sz w:val="20"/>
          <w:szCs w:val="20"/>
        </w:rPr>
        <w:t>- ability for attendees to plan ahead and prioritize which meetings they will attend</w:t>
      </w:r>
    </w:p>
    <w:p w:rsidR="00582DB0" w:rsidRDefault="008B7346">
      <w:pPr>
        <w:widowControl w:val="0"/>
      </w:pPr>
      <w:r>
        <w:rPr>
          <w:sz w:val="20"/>
          <w:szCs w:val="20"/>
        </w:rPr>
        <w:t>- capac</w:t>
      </w:r>
      <w:r>
        <w:rPr>
          <w:sz w:val="20"/>
          <w:szCs w:val="20"/>
        </w:rPr>
        <w:t>ity for hosts to attract more sponsorship funding with a greater lead time</w:t>
      </w:r>
    </w:p>
    <w:p w:rsidR="00582DB0" w:rsidRDefault="008B7346">
      <w:pPr>
        <w:widowControl w:val="0"/>
      </w:pPr>
      <w:r>
        <w:rPr>
          <w:sz w:val="20"/>
          <w:szCs w:val="20"/>
        </w:rPr>
        <w:t>- greater opportunities to build linkages in the vicinity of the hosting location</w:t>
      </w:r>
    </w:p>
    <w:sectPr w:rsidR="00582D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C6015"/>
    <w:multiLevelType w:val="multilevel"/>
    <w:tmpl w:val="BB8C7B56"/>
    <w:lvl w:ilvl="0">
      <w:start w:val="1"/>
      <w:numFmt w:val="decimal"/>
      <w:lvlText w:val="%1."/>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1">
    <w:nsid w:val="0A2B39AF"/>
    <w:multiLevelType w:val="multilevel"/>
    <w:tmpl w:val="687A6BFE"/>
    <w:lvl w:ilvl="0">
      <w:start w:val="1"/>
      <w:numFmt w:val="decimal"/>
      <w:lvlText w:val="%1."/>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2">
    <w:nsid w:val="1C935845"/>
    <w:multiLevelType w:val="multilevel"/>
    <w:tmpl w:val="09FEAFFC"/>
    <w:lvl w:ilvl="0">
      <w:start w:val="1"/>
      <w:numFmt w:val="decimal"/>
      <w:lvlText w:val="%1."/>
      <w:lvlJc w:val="left"/>
      <w:pPr>
        <w:ind w:left="720" w:firstLine="360"/>
      </w:pPr>
      <w:rPr>
        <w:rFonts w:ascii="Arial" w:eastAsia="Arial" w:hAnsi="Arial" w:cs="Arial"/>
        <w:b/>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i w:val="0"/>
        <w:smallCaps w:val="0"/>
        <w:strike w:val="0"/>
        <w:color w:val="000000"/>
        <w:sz w:val="24"/>
        <w:szCs w:val="24"/>
        <w:u w:val="none"/>
        <w:vertAlign w:val="baseline"/>
      </w:rPr>
    </w:lvl>
  </w:abstractNum>
  <w:abstractNum w:abstractNumId="3">
    <w:nsid w:val="47CD464A"/>
    <w:multiLevelType w:val="multilevel"/>
    <w:tmpl w:val="76C0097C"/>
    <w:lvl w:ilvl="0">
      <w:start w:val="1"/>
      <w:numFmt w:val="decimal"/>
      <w:lvlText w:val="%1."/>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0"/>
        <w:szCs w:val="20"/>
        <w:u w:val="none"/>
        <w:vertAlign w:val="baseline"/>
      </w:rPr>
    </w:lvl>
  </w:abstractNum>
  <w:abstractNum w:abstractNumId="4">
    <w:nsid w:val="6BAB602F"/>
    <w:multiLevelType w:val="hybridMultilevel"/>
    <w:tmpl w:val="DA82318C"/>
    <w:lvl w:ilvl="0" w:tplc="061CD9F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BD1D9D"/>
    <w:multiLevelType w:val="multilevel"/>
    <w:tmpl w:val="6C381668"/>
    <w:lvl w:ilvl="0">
      <w:start w:val="1"/>
      <w:numFmt w:val="bullet"/>
      <w:lvlText w:val="●"/>
      <w:lvlJc w:val="left"/>
      <w:pPr>
        <w:ind w:left="720" w:firstLine="360"/>
      </w:pPr>
      <w:rPr>
        <w:rFonts w:ascii="Arial" w:eastAsia="Arial" w:hAnsi="Arial" w:cs="Arial"/>
        <w:b w:val="0"/>
        <w:i w:val="0"/>
        <w:smallCaps w:val="0"/>
        <w:strike w:val="0"/>
        <w:color w:val="000000"/>
        <w:sz w:val="20"/>
        <w:szCs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szCs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szCs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szCs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szCs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szCs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szCs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szCs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szCs w:val="20"/>
        <w:u w:val="none"/>
        <w:vertAlign w:val="baseline"/>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displayBackgroundShape/>
  <w:proofState w:spelling="clean"/>
  <w:defaultTabStop w:val="720"/>
  <w:characterSpacingControl w:val="doNotCompress"/>
  <w:compat>
    <w:compatSetting w:name="compatibilityMode" w:uri="http://schemas.microsoft.com/office/word" w:val="14"/>
  </w:compat>
  <w:rsids>
    <w:rsidRoot w:val="00582DB0"/>
    <w:rsid w:val="0052034A"/>
    <w:rsid w:val="00582DB0"/>
    <w:rsid w:val="0065067F"/>
    <w:rsid w:val="008B7346"/>
    <w:rsid w:val="00C9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17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75C"/>
    <w:rPr>
      <w:rFonts w:ascii="Tahoma" w:hAnsi="Tahoma" w:cs="Tahoma"/>
      <w:sz w:val="16"/>
      <w:szCs w:val="16"/>
    </w:rPr>
  </w:style>
  <w:style w:type="character" w:styleId="Hyperlink">
    <w:name w:val="Hyperlink"/>
    <w:basedOn w:val="DefaultParagraphFont"/>
    <w:uiPriority w:val="99"/>
    <w:unhideWhenUsed/>
    <w:rsid w:val="0052034A"/>
    <w:rPr>
      <w:color w:val="0000FF" w:themeColor="hyperlink"/>
      <w:u w:val="single"/>
    </w:rPr>
  </w:style>
  <w:style w:type="paragraph" w:styleId="ListParagraph">
    <w:name w:val="List Paragraph"/>
    <w:basedOn w:val="Normal"/>
    <w:uiPriority w:val="34"/>
    <w:qFormat/>
    <w:rsid w:val="005203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917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75C"/>
    <w:rPr>
      <w:rFonts w:ascii="Tahoma" w:hAnsi="Tahoma" w:cs="Tahoma"/>
      <w:sz w:val="16"/>
      <w:szCs w:val="16"/>
    </w:rPr>
  </w:style>
  <w:style w:type="character" w:styleId="Hyperlink">
    <w:name w:val="Hyperlink"/>
    <w:basedOn w:val="DefaultParagraphFont"/>
    <w:uiPriority w:val="99"/>
    <w:unhideWhenUsed/>
    <w:rsid w:val="0052034A"/>
    <w:rPr>
      <w:color w:val="0000FF" w:themeColor="hyperlink"/>
      <w:u w:val="single"/>
    </w:rPr>
  </w:style>
  <w:style w:type="paragraph" w:styleId="ListParagraph">
    <w:name w:val="List Paragraph"/>
    <w:basedOn w:val="Normal"/>
    <w:uiPriority w:val="34"/>
    <w:qFormat/>
    <w:rsid w:val="005203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rdis@tdwg.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MRAC - KMMA</Company>
  <LinksUpToDate>false</LinksUpToDate>
  <CharactersWithSpaces>7071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Mergen  Patricia</dc:creator>
  <cp:lastModifiedBy>Mergen  Patricia</cp:lastModifiedBy>
  <cp:revision>4</cp:revision>
  <dcterms:created xsi:type="dcterms:W3CDTF">2016-11-29T17:51:00Z</dcterms:created>
  <dcterms:modified xsi:type="dcterms:W3CDTF">2016-11-29T18:06:00Z</dcterms:modified>
</cp:coreProperties>
</file>