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D4B76">
      <w:pPr>
        <w:pStyle w:val="2"/>
        <w:keepNext w:val="0"/>
        <w:keepLines w:val="0"/>
        <w:pageBreakBefore w:val="0"/>
        <w:widowControl/>
        <w:numPr>
          <w:ilvl w:val="0"/>
          <w:numId w:val="0"/>
        </w:numPr>
        <w:kinsoku/>
        <w:wordWrap/>
        <w:overflowPunct/>
        <w:topLinePunct w:val="0"/>
        <w:autoSpaceDE/>
        <w:autoSpaceDN/>
        <w:bidi w:val="0"/>
        <w:adjustRightInd/>
        <w:snapToGrid w:val="0"/>
        <w:spacing w:line="360" w:lineRule="auto"/>
        <w:ind w:right="0" w:rightChars="0"/>
        <w:jc w:val="both"/>
        <w:textAlignment w:val="auto"/>
        <w:rPr>
          <w:rFonts w:hint="eastAsia" w:ascii="仿宋_GB2312" w:hAnsi="仿宋_GB2312" w:eastAsia="仿宋_GB2312" w:cs="仿宋_GB2312"/>
          <w:b/>
          <w:color w:val="auto"/>
          <w:sz w:val="32"/>
          <w:szCs w:val="32"/>
        </w:rPr>
      </w:pPr>
      <w:r>
        <w:rPr>
          <w:rFonts w:hint="eastAsia" w:ascii="仿宋_GB2312" w:hAnsi="仿宋_GB2312" w:eastAsia="仿宋_GB2312" w:cs="仿宋_GB2312"/>
          <w:b/>
          <w:color w:val="auto"/>
          <w:sz w:val="32"/>
          <w:szCs w:val="32"/>
          <w:lang w:val="en-US" w:eastAsia="zh-CN"/>
        </w:rPr>
        <w:t>三、</w:t>
      </w:r>
      <w:bookmarkStart w:id="0" w:name="_GoBack"/>
      <w:bookmarkEnd w:id="0"/>
      <w:r>
        <w:rPr>
          <w:rFonts w:hint="eastAsia" w:ascii="仿宋_GB2312" w:hAnsi="仿宋_GB2312" w:eastAsia="仿宋_GB2312" w:cs="仿宋_GB2312"/>
          <w:b/>
          <w:color w:val="auto"/>
          <w:sz w:val="32"/>
          <w:szCs w:val="32"/>
        </w:rPr>
        <w:t>第</w:t>
      </w:r>
      <w:r>
        <w:rPr>
          <w:rFonts w:hint="eastAsia" w:ascii="仿宋_GB2312" w:hAnsi="仿宋_GB2312" w:eastAsia="仿宋_GB2312" w:cs="仿宋_GB2312"/>
          <w:b/>
          <w:color w:val="auto"/>
          <w:sz w:val="32"/>
          <w:szCs w:val="32"/>
          <w:lang w:val="en-US" w:eastAsia="zh-CN"/>
        </w:rPr>
        <w:t>四</w:t>
      </w:r>
      <w:r>
        <w:rPr>
          <w:rFonts w:hint="eastAsia" w:ascii="仿宋_GB2312" w:hAnsi="仿宋_GB2312" w:eastAsia="仿宋_GB2312" w:cs="仿宋_GB2312"/>
          <w:b/>
          <w:color w:val="auto"/>
          <w:sz w:val="32"/>
          <w:szCs w:val="32"/>
        </w:rPr>
        <w:t>批全国社区治理和服务创新实验区（</w:t>
      </w:r>
      <w:r>
        <w:rPr>
          <w:rFonts w:hint="eastAsia" w:ascii="仿宋_GB2312" w:hAnsi="仿宋_GB2312" w:eastAsia="仿宋_GB2312" w:cs="仿宋_GB2312"/>
          <w:b/>
          <w:color w:val="auto"/>
          <w:sz w:val="32"/>
          <w:szCs w:val="32"/>
          <w:lang w:val="en-US" w:eastAsia="zh-CN"/>
        </w:rPr>
        <w:t>31</w:t>
      </w:r>
      <w:r>
        <w:rPr>
          <w:rFonts w:hint="eastAsia" w:ascii="仿宋_GB2312" w:hAnsi="仿宋_GB2312" w:eastAsia="仿宋_GB2312" w:cs="仿宋_GB2312"/>
          <w:b/>
          <w:color w:val="auto"/>
          <w:sz w:val="32"/>
          <w:szCs w:val="32"/>
        </w:rPr>
        <w:t>个）</w:t>
      </w:r>
    </w:p>
    <w:tbl>
      <w:tblPr>
        <w:tblStyle w:val="3"/>
        <w:tblW w:w="8562" w:type="dxa"/>
        <w:tblInd w:w="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Layout w:type="fixed"/>
        <w:tblCellMar>
          <w:top w:w="0" w:type="dxa"/>
          <w:left w:w="0" w:type="dxa"/>
          <w:bottom w:w="0" w:type="dxa"/>
          <w:right w:w="0" w:type="dxa"/>
        </w:tblCellMar>
      </w:tblPr>
      <w:tblGrid>
        <w:gridCol w:w="625"/>
        <w:gridCol w:w="1438"/>
        <w:gridCol w:w="3228"/>
        <w:gridCol w:w="3271"/>
      </w:tblGrid>
      <w:tr w14:paraId="51ED25F4">
        <w:trPr>
          <w:trHeight w:val="570" w:hRule="atLeast"/>
        </w:trPr>
        <w:tc>
          <w:tcPr>
            <w:tcW w:w="625" w:type="dxa"/>
            <w:tcBorders>
              <w:top w:val="single" w:color="000000" w:sz="6" w:space="0"/>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52BC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5"/>
                <w:rFonts w:hint="eastAsia" w:ascii="宋体" w:hAnsi="宋体" w:eastAsia="宋体" w:cs="宋体"/>
                <w:i w:val="0"/>
                <w:caps w:val="0"/>
                <w:color w:val="333333"/>
                <w:spacing w:val="0"/>
                <w:sz w:val="28"/>
                <w:szCs w:val="28"/>
              </w:rPr>
              <w:t>序号</w:t>
            </w:r>
          </w:p>
        </w:tc>
        <w:tc>
          <w:tcPr>
            <w:tcW w:w="1438" w:type="dxa"/>
            <w:tcBorders>
              <w:top w:val="single" w:color="000000" w:sz="6" w:space="0"/>
              <w:left w:val="nil"/>
              <w:bottom w:val="single" w:color="000000" w:sz="6" w:space="0"/>
              <w:right w:val="single" w:color="000000" w:sz="6" w:space="0"/>
            </w:tcBorders>
            <w:shd w:val="clear" w:color="auto" w:fill="FFFFFF"/>
            <w:noWrap w:val="0"/>
            <w:tcMar>
              <w:top w:w="0" w:type="dxa"/>
              <w:bottom w:w="0" w:type="dxa"/>
            </w:tcMar>
            <w:vAlign w:val="center"/>
          </w:tcPr>
          <w:p w14:paraId="763B5A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5"/>
                <w:rFonts w:hint="eastAsia" w:ascii="宋体" w:hAnsi="宋体" w:eastAsia="宋体" w:cs="宋体"/>
                <w:i w:val="0"/>
                <w:caps w:val="0"/>
                <w:color w:val="333333"/>
                <w:spacing w:val="0"/>
                <w:sz w:val="28"/>
                <w:szCs w:val="28"/>
              </w:rPr>
              <w:t>实验单位</w:t>
            </w:r>
          </w:p>
        </w:tc>
        <w:tc>
          <w:tcPr>
            <w:tcW w:w="3228" w:type="dxa"/>
            <w:tcBorders>
              <w:top w:val="single" w:color="000000" w:sz="6" w:space="0"/>
              <w:left w:val="nil"/>
              <w:bottom w:val="single" w:color="000000" w:sz="6" w:space="0"/>
              <w:right w:val="single" w:color="000000" w:sz="6" w:space="0"/>
            </w:tcBorders>
            <w:shd w:val="clear" w:color="auto" w:fill="FFFFFF"/>
            <w:noWrap w:val="0"/>
            <w:tcMar>
              <w:top w:w="0" w:type="dxa"/>
              <w:bottom w:w="0" w:type="dxa"/>
            </w:tcMar>
            <w:vAlign w:val="center"/>
          </w:tcPr>
          <w:p w14:paraId="0489AD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5"/>
                <w:rFonts w:hint="eastAsia" w:ascii="宋体" w:hAnsi="宋体" w:eastAsia="宋体" w:cs="宋体"/>
                <w:i w:val="0"/>
                <w:caps w:val="0"/>
                <w:color w:val="333333"/>
                <w:spacing w:val="0"/>
                <w:sz w:val="28"/>
                <w:szCs w:val="28"/>
              </w:rPr>
              <w:t>实验主题</w:t>
            </w:r>
          </w:p>
        </w:tc>
        <w:tc>
          <w:tcPr>
            <w:tcW w:w="3271" w:type="dxa"/>
            <w:tcBorders>
              <w:top w:val="single" w:color="000000" w:sz="6" w:space="0"/>
              <w:left w:val="nil"/>
              <w:bottom w:val="single" w:color="000000" w:sz="6" w:space="0"/>
              <w:right w:val="single" w:color="000000" w:sz="6" w:space="0"/>
            </w:tcBorders>
            <w:shd w:val="clear" w:color="auto" w:fill="FFFFFF"/>
            <w:noWrap w:val="0"/>
            <w:tcMar>
              <w:top w:w="0" w:type="dxa"/>
              <w:bottom w:w="0" w:type="dxa"/>
            </w:tcMar>
            <w:vAlign w:val="center"/>
          </w:tcPr>
          <w:p w14:paraId="6CD0E1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5"/>
                <w:rFonts w:hint="eastAsia" w:ascii="宋体" w:hAnsi="宋体" w:eastAsia="宋体" w:cs="宋体"/>
                <w:i w:val="0"/>
                <w:caps w:val="0"/>
                <w:color w:val="333333"/>
                <w:spacing w:val="0"/>
                <w:sz w:val="28"/>
                <w:szCs w:val="28"/>
              </w:rPr>
              <w:t>实验内容</w:t>
            </w:r>
          </w:p>
        </w:tc>
      </w:tr>
      <w:tr w14:paraId="63094024">
        <w:trPr>
          <w:trHeight w:val="138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2566E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544A4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北京市石景山区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9CFF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打造“老街坊”品牌，构建共建共治共享社区治理机制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85FD5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以“老街坊”组织化建设为抓手，以服务精准化、专业化为导向，以志愿服务与个人信用挂钩为突破，以信息化建设为支撑，以培育社区公共精神为核心，构建守望相助的社区和谐幸福家园</w:t>
            </w:r>
          </w:p>
        </w:tc>
      </w:tr>
      <w:tr w14:paraId="5977A090">
        <w:trPr>
          <w:trHeight w:val="12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D9CF4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A7DA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天津市河北区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0C204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党建引领社区物业服务管理机制建设</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E3107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探索建立健全党建引领、多方联动的社区物业服务管理机制</w:t>
            </w:r>
          </w:p>
        </w:tc>
      </w:tr>
      <w:tr w14:paraId="34623BCB">
        <w:trPr>
          <w:trHeight w:val="90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C49A8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3</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2C3B6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辽宁省沈阳市和平区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69B35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建设幸福社区家，激活居民参与内生动力</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46571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建设以“社区家”为文化引领，推进建设“人人参与、人人尽力、人人共享”的城市社区生活共同体</w:t>
            </w:r>
          </w:p>
        </w:tc>
      </w:tr>
      <w:tr w14:paraId="57B7CC19">
        <w:trPr>
          <w:trHeight w:val="85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B978B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4</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44FA6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黑龙江省双鸭山市</w:t>
            </w:r>
          </w:p>
          <w:p w14:paraId="4121FF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岭东区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65745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邻里家园·活力社区</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F429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探索沉陷区、棚户区改造后社区治理体系建设和社区治理能力提升有效机制</w:t>
            </w:r>
          </w:p>
        </w:tc>
      </w:tr>
      <w:tr w14:paraId="320548DC">
        <w:trPr>
          <w:trHeight w:val="12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F1BC4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5</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11C85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上海市徐汇区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8AE74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深化社区工作者全面成长机制探索实践</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364C4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深入探索社区工作者培养、评价、选拔、使用、激励机制，提升社区工作者职业化、专业化水平</w:t>
            </w:r>
          </w:p>
        </w:tc>
      </w:tr>
      <w:tr w14:paraId="7B1F8785">
        <w:trPr>
          <w:trHeight w:val="9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B2930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6</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BCF5B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上海市长宁区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9BA6D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优化社区分类治理，推进社区治理精细化</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79F24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合理划分社区治理类型，形成“三清单一攻略一导则”，推进公共服务资源精准配置，提升社区治理精准化、精细化水平</w:t>
            </w:r>
          </w:p>
        </w:tc>
      </w:tr>
      <w:tr w14:paraId="7562CD50">
        <w:trPr>
          <w:trHeight w:val="103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FB8B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7</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A3BC3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江苏省南京市雨花台区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05882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探索四聚式“三社联动”路径</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D9119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聚焦平台、聚焦需求、聚焦协同、聚焦治理，深化“三社联动”机制探索</w:t>
            </w:r>
          </w:p>
        </w:tc>
      </w:tr>
      <w:tr w14:paraId="01DFF33B">
        <w:trPr>
          <w:trHeight w:val="111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06DCD9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8</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8E331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江苏省南京市溧水区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DA3E6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创新政府购买社区服务机制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6DC8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加强社区服务资金统筹，建立健全政府购买社区服务需求发现、项目设计、评审评估、绩效监管机制</w:t>
            </w:r>
          </w:p>
        </w:tc>
      </w:tr>
      <w:tr w14:paraId="7F14B844">
        <w:trPr>
          <w:trHeight w:val="12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55B5C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9</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C2CE5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江苏省徐州市鼓楼区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54C90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建设智慧社区，打造社区“云”治理</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865F2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深化大数据云平台建设，以人工智能技术应用为依托，推动实现信息化与社区治理深度融合的有效路径</w:t>
            </w:r>
          </w:p>
        </w:tc>
      </w:tr>
      <w:tr w14:paraId="6F90BCA2">
        <w:trPr>
          <w:trHeight w:val="120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1B795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10</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83D13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江苏省南通市崇川区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ED7BF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“邻里+”社区治理机制探索</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B600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优化社区治理体系，加强邻里文化引领，整合公共服务资源，探索“邻里守望、和谐相亲”的社区治理机制</w:t>
            </w:r>
          </w:p>
        </w:tc>
      </w:tr>
      <w:tr w14:paraId="3A46E700">
        <w:trPr>
          <w:trHeight w:val="114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5179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B5986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浙江省杭州市江干区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47831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探索打造“双网共生”社区治理机制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61A5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探索社区居民自治与网格化服务管理有效衔接的机制和路径</w:t>
            </w:r>
          </w:p>
        </w:tc>
      </w:tr>
      <w:tr w14:paraId="147578AC">
        <w:trPr>
          <w:trHeight w:val="126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496828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12</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CB690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浙江省绍兴市越城区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E65BA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“五邻社”链接社区资源，契约化推动依法治理</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34343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深化“五邻社”组织平台作用，探索运用“契约化”手段链接盘活社区资源，探索共建共治共享机制</w:t>
            </w:r>
          </w:p>
        </w:tc>
      </w:tr>
      <w:tr w14:paraId="52CFD7D4">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79EAA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13</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CD510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浙江省衢州市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37F36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打造数字化背景下的社区治理和服务新机制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12677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运用云计算、大数据、移动互联、物联网等新一代信息技术，将社区治理和服务各类信息统一纳入社区治理和服务信息平台，以信息化建设提升社区治理和服务精细化水平</w:t>
            </w:r>
          </w:p>
        </w:tc>
      </w:tr>
      <w:tr w14:paraId="754BAEA8">
        <w:trPr>
          <w:trHeight w:val="9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0EBEE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14</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57EE2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安徽省合肥市包河区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A4EC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推动社区服务“两级网络”建设，构建社区15分钟服务圈</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24EEC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推动社区服务“两级网络”建设，构建集公共服务、社会服务、便民服务为一体的社区服务网络</w:t>
            </w:r>
          </w:p>
        </w:tc>
      </w:tr>
      <w:tr w14:paraId="522DFB11">
        <w:trPr>
          <w:trHeight w:val="123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EDD7A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15</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A05A8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江西省南昌市西湖区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39061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推进社区分类治理，实现服务精准施策</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30948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根据不同社区类型，探索在社区治理资源配置、社区服务供给、社区居民自治等方面建立有针对性的社区治理机制</w:t>
            </w:r>
          </w:p>
        </w:tc>
      </w:tr>
      <w:tr w14:paraId="7609BE77">
        <w:trPr>
          <w:trHeight w:val="100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471EE0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16</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25F2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山东省烟台市芝罘区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8E8EF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推行民需项目服务法，构建服务型社区</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3B00C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以民需项目为抓手，完善社区组织发现居民需求、统筹设计服务项目、支持社会组织承接、引导专业社会工作团队参与的“三社联动”工作体系</w:t>
            </w:r>
          </w:p>
        </w:tc>
      </w:tr>
      <w:tr w14:paraId="2C1C1A24">
        <w:trPr>
          <w:trHeight w:val="115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0D51C0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17</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9C51A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山东省滨州市滨城区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B210B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实施“五级双向工作法”，实现棚改地区居民诉求在社区的协调达成</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DBF80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通过“五级”双向互动，实现棚改前政策规划引导到位，棚改中矛盾纠纷诉求有效解决，棚改后社区治理和服务有效运行</w:t>
            </w:r>
          </w:p>
        </w:tc>
      </w:tr>
      <w:tr w14:paraId="2CD3E818">
        <w:trPr>
          <w:trHeight w:val="117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FE6B5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18</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D6C1C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河南省许昌市魏都区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B974D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实施公约行动，探索居民公约治理机制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AA46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充分发挥居民公约在社区治理中的积极作用，实现自治、法治、德治“三治融合”</w:t>
            </w:r>
          </w:p>
        </w:tc>
      </w:tr>
      <w:tr w14:paraId="57861797">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09524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19</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A2C50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湖北省武汉市江岸区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998B0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盘活社区本地资源，创新社区治理机制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7DF4E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探索建立内生式社区治理社会化机制，盘活社区本地资源，构建人人参与、人人尽力、人人共享的社区治理格局</w:t>
            </w:r>
          </w:p>
        </w:tc>
      </w:tr>
      <w:tr w14:paraId="08BA6109">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9B893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20</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F148D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湖北省宜都市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91115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促进社区居民自治与网格化服务管理有效衔接</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D86CC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通过整合社区治理单元、人员、组织、职责、资源等，探索社区居民自治与网格化服务管理有效衔接和良性互动的社区治理机制</w:t>
            </w:r>
          </w:p>
        </w:tc>
      </w:tr>
      <w:tr w14:paraId="499091F7">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69D6C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A427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湖北省咸宁市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B012C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探索建立以市带县的城市社区治理推进机制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F5EB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探索建立市级党委政府在全域统筹、政策制定、制度建设、平台打造和服务监管等方面的领导统筹推进机制，提升城市社区治理整体水平</w:t>
            </w:r>
          </w:p>
        </w:tc>
      </w:tr>
      <w:tr w14:paraId="2CD21144">
        <w:trPr>
          <w:trHeight w:val="117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0E8D4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22</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73066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湖南省长沙市天心区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17E8A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打造社区15分钟生活服务圈</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93780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以居民需求为导向，以社区规划为引领，以机制创新为支撑，实现服务网络全覆盖、服务居民全方位、服务阵地全开放</w:t>
            </w:r>
          </w:p>
        </w:tc>
      </w:tr>
      <w:tr w14:paraId="23F67AA5">
        <w:trPr>
          <w:trHeight w:val="117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4609C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23</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B2EA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湖南省株洲市天元区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4F96C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党建领航·“三社联动”</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716BA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探索区域化党建引领“三社联动”工作机制，完善项目化助推“三社联动”制度体系</w:t>
            </w:r>
          </w:p>
        </w:tc>
      </w:tr>
      <w:tr w14:paraId="4DD08DC4">
        <w:trPr>
          <w:trHeight w:val="9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AD8B1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24</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5834B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广东省佛山市禅城区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F862A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打造社区微服务综合体系，提升社区治理和服务水平</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1E2B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以信息化技术为支撑，建设覆盖区、街道、社区三级的社区微服务综合体系，实现宏观群体资源与微观个体需求精准对接</w:t>
            </w:r>
          </w:p>
        </w:tc>
      </w:tr>
      <w:tr w14:paraId="547D216A">
        <w:trPr>
          <w:trHeight w:val="102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E82DF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25</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AF0AA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重庆市江北区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B40F6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构建“三社+N”联动体系，增强社区治理和服务“六个能力”</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DE5D9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探索建立以社区为平台、社会组织为载体、社会工作为支撑，多方力量积极参与、深度融合的“三社+N”联动体系，实现社区治理和服务“六个能力”提升</w:t>
            </w:r>
          </w:p>
        </w:tc>
      </w:tr>
      <w:tr w14:paraId="2844FA52">
        <w:trPr>
          <w:trHeight w:val="93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B88FE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26</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CE9C2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四川省成都市金牛区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085F7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探索建立党建引领的社区提案工作机制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3DF86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探索建立党领导下的社区提案收集、分拣、审议、公开、落实、评估机制，构建多方参与、共同治理的社区治理体系</w:t>
            </w:r>
          </w:p>
        </w:tc>
      </w:tr>
      <w:tr w14:paraId="2E3271DC">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6878D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27</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194FD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四川省成都市新都区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4492A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创新党领导的社区多方协商共治机制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752AE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探索建立积分激励、指数监测、信息化支撑、智库支持等工作机制，有效提升社区协商工作水平</w:t>
            </w:r>
          </w:p>
        </w:tc>
      </w:tr>
      <w:tr w14:paraId="41BAAA75">
        <w:trPr>
          <w:trHeight w:val="9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478B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28</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D6C1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四川省邛崃市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3018C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建立驻社区机关企事业单位履行社区治理责任评价体系</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25657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探索建立驻社区机关企事业单位履行社区治理责任清单、考核评价、结果运用机制，构建共建共治共享社区治理格局</w:t>
            </w:r>
          </w:p>
        </w:tc>
      </w:tr>
      <w:tr w14:paraId="33965D4B">
        <w:trPr>
          <w:trHeight w:val="105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46011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29</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95FFE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陕西省西安市莲湖区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A123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实施清单准入制度，推进社区减负增效</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03625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完善社区工作事项“三个清单”，全面探索实行社区工作事项准入机制，推进社区减负增效，提升社区治理和服务水平</w:t>
            </w:r>
          </w:p>
        </w:tc>
      </w:tr>
      <w:tr w14:paraId="6B0DDEEA">
        <w:trPr>
          <w:trHeight w:val="9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26853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30</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449B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陕西省榆林市榆阳区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C9CA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促进社区居民自治与网格化服务管理有效衔接</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1FCC0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从设置优化、功能互补、体系融合、人员整合、资源下沉等方面，探索实现社区居民自治与网格化服务管理有效衔接</w:t>
            </w:r>
          </w:p>
        </w:tc>
      </w:tr>
      <w:tr w14:paraId="35385C4E">
        <w:trPr>
          <w:trHeight w:val="100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41897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31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8663E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甘肃省酒泉市肃州区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8909D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探索完善欠发达地区“三社联动”工作体系</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A9049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完善“三大平台”，创新“五大机制”，探索欠发达地区通过“三社联动”提升社区治理和服务水平新路径</w:t>
            </w:r>
          </w:p>
        </w:tc>
      </w:tr>
    </w:tbl>
    <w:p w14:paraId="2154AD37"/>
    <w:p w14:paraId="6C9F135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EE831"/>
    <w:rsid w:val="3DB5A32A"/>
    <w:rsid w:val="77FEE831"/>
    <w:rsid w:val="FEFE9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2025-12-16T05:09:00Z</dcterms:created>
  <dc:creator>WPS_1646126285</dc:creator>
  <cp:lastModifiedBy>WPS_1646126285</cp:lastModifiedBy>
  <dcterms:modified xsi:type="dcterms:W3CDTF">2025-12-15T21:11:41Z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B0009270A3C2426C9208406945196623_41</vt:lpwstr>
  </property>
</Properties>
</file>