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commentsExtensible.xml" ContentType="application/vnd.openxmlformats-officedocument.wordprocessingml.commentsExtensi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УТВЕРЖДАЮ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управления </w:t>
      </w:r>
      <w:r>
        <w:rPr>
          <w:rFonts w:ascii="Times New Roman" w:hAnsi="Times New Roman" w:cs="Times New Roman"/>
          <w:sz w:val="28"/>
          <w:szCs w:val="28"/>
        </w:rPr>
        <w:t xml:space="preserve">ЭиПБ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ООО «РВБ»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</w:rPr>
        <w:t xml:space="preserve">________Р.Н. Романов</w:t>
      </w:r>
      <w:r>
        <w:rPr>
          <w:rFonts w:ascii="Times New Roman" w:hAnsi="Times New Roman" w:cs="Times New Roman"/>
          <w:sz w:val="28"/>
          <w:szCs w:val="28"/>
        </w:rPr>
      </w:r>
    </w:p>
    <w:p>
      <w:r/>
      <w:r/>
    </w:p>
    <w:p>
      <w:pPr>
        <w:jc w:val="right"/>
      </w:pPr>
      <w:r/>
      <w:r/>
    </w:p>
    <w:p>
      <w:pPr>
        <w:rPr>
          <w:b/>
        </w:rPr>
      </w:pPr>
      <w:r>
        <w:rPr>
          <w:b/>
        </w:rPr>
      </w:r>
      <w:r>
        <w:rPr>
          <w:b/>
        </w:rPr>
      </w:r>
    </w:p>
    <w:p>
      <w:pPr>
        <w:pStyle w:val="737"/>
        <w:jc w:val="center"/>
        <w:rPr>
          <w:b/>
          <w:bCs/>
        </w:rPr>
      </w:pPr>
      <w:r>
        <w:rPr>
          <w:b/>
          <w:bCs/>
        </w:rPr>
        <w:t xml:space="preserve">ТЕХНИЧЕСКОЕ ЗАДАНИЕ</w:t>
      </w:r>
      <w:r>
        <w:rPr>
          <w:b/>
          <w:bCs/>
        </w:rPr>
      </w:r>
    </w:p>
    <w:p>
      <w:pPr>
        <w:pStyle w:val="737"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37"/>
        <w:jc w:val="center"/>
        <w:rPr>
          <w:b/>
          <w:bCs/>
        </w:rPr>
      </w:pPr>
      <w:r>
        <w:rPr>
          <w:b/>
          <w:bCs/>
        </w:rPr>
        <w:t xml:space="preserve">на выполнение работ</w:t>
      </w:r>
      <w:r>
        <w:rPr>
          <w:b/>
          <w:bCs/>
        </w:rPr>
        <w:t xml:space="preserve"> по созданию </w:t>
      </w:r>
      <w:r>
        <w:rPr>
          <w:b/>
          <w:bCs/>
        </w:rPr>
        <w:t xml:space="preserve">энергокомплекса </w:t>
      </w:r>
      <w:r>
        <w:rPr>
          <w:b/>
          <w:bCs/>
        </w:rPr>
        <w:t xml:space="preserve">на базе автономных электро</w:t>
      </w:r>
      <w:r>
        <w:rPr>
          <w:b/>
          <w:bCs/>
        </w:rPr>
        <w:t xml:space="preserve">генераторов</w:t>
      </w:r>
      <w:r>
        <w:rPr>
          <w:b/>
          <w:bCs/>
        </w:rPr>
        <w:t xml:space="preserve">, работающих на </w:t>
      </w:r>
      <w:r>
        <w:rPr>
          <w:b/>
          <w:bCs/>
        </w:rPr>
        <w:t xml:space="preserve">природном </w:t>
      </w:r>
      <w:r>
        <w:rPr>
          <w:b/>
          <w:bCs/>
        </w:rPr>
        <w:t xml:space="preserve">газ</w:t>
      </w:r>
      <w:r>
        <w:rPr>
          <w:b/>
          <w:bCs/>
        </w:rPr>
        <w:t xml:space="preserve">е.</w:t>
      </w:r>
      <w:r>
        <w:rPr>
          <w:b/>
          <w:bCs/>
        </w:rPr>
      </w:r>
    </w:p>
    <w:p>
      <w:pPr>
        <w:pStyle w:val="737"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r/>
      <w:r/>
    </w:p>
    <w:tbl>
      <w:tblPr>
        <w:tblStyle w:val="736"/>
        <w:tblW w:w="10349" w:type="dxa"/>
        <w:tblInd w:w="-856" w:type="dxa"/>
        <w:tblLook w:val="04A0" w:firstRow="1" w:lastRow="0" w:firstColumn="1" w:lastColumn="0" w:noHBand="0" w:noVBand="1"/>
      </w:tblPr>
      <w:tblGrid>
        <w:gridCol w:w="567"/>
        <w:gridCol w:w="3545"/>
        <w:gridCol w:w="6237"/>
      </w:tblGrid>
      <w:tr>
        <w:trPr/>
        <w:tc>
          <w:tcPr>
            <w:tcW w:w="567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W w:w="3545" w:type="dxa"/>
            <w:vAlign w:val="center"/>
            <w:textDirection w:val="lrTb"/>
            <w:noWrap w:val="false"/>
          </w:tcPr>
          <w:p>
            <w:pPr>
              <w:ind w:firstLine="0"/>
              <w:jc w:val="left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Перечень основных данных и требований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W w:w="6237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Содержание основных данных и требований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ヒラギノ角ゴ Pro W3" w:cs="Times New Roman"/>
                <w:bCs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W w:w="3545" w:type="dxa"/>
            <w:textDirection w:val="lrTb"/>
            <w:noWrap w:val="false"/>
          </w:tcPr>
          <w:p>
            <w:pPr>
              <w:ind w:firstLine="0"/>
              <w:jc w:val="left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Предмет закупки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Выполнение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</w:t>
            </w:r>
            <w:r>
              <w:rPr>
                <w:rStyle w:val="749"/>
                <w:rFonts w:eastAsiaTheme="minorHAnsi"/>
              </w:rPr>
              <w:t xml:space="preserve">комплекса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работ по </w:t>
            </w:r>
            <w:r>
              <w:rPr>
                <w:rFonts w:ascii="Times New Roman" w:hAnsi="Times New Roman" w:cs="Times New Roman"/>
                <w:bCs/>
              </w:rPr>
              <w:t xml:space="preserve">проектированию,</w:t>
            </w:r>
            <w:r>
              <w:rPr>
                <w:rFonts w:ascii="Times New Roman" w:hAnsi="Times New Roman" w:cs="Times New Roman"/>
                <w:bCs/>
              </w:rPr>
              <w:t xml:space="preserve"> поставке,</w:t>
            </w:r>
            <w:r>
              <w:rPr>
                <w:rFonts w:ascii="Times New Roman" w:hAnsi="Times New Roman" w:cs="Times New Roman"/>
                <w:bCs/>
              </w:rPr>
              <w:t xml:space="preserve"> монтажу</w:t>
            </w:r>
            <w:r>
              <w:rPr>
                <w:rFonts w:ascii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Cs/>
              </w:rPr>
              <w:t xml:space="preserve">пуско-наладк</w:t>
            </w:r>
            <w:r>
              <w:rPr>
                <w:rFonts w:ascii="Times New Roman" w:hAnsi="Times New Roman" w:cs="Times New Roman"/>
                <w:bCs/>
              </w:rPr>
              <w:t xml:space="preserve">е</w:t>
            </w:r>
            <w:r>
              <w:rPr>
                <w:rFonts w:ascii="Times New Roman" w:hAnsi="Times New Roman" w:cs="Times New Roman"/>
                <w:bCs/>
              </w:rPr>
              <w:t xml:space="preserve"> и комплексной эксплуатации объекта: </w:t>
            </w:r>
            <w:r>
              <w:rPr>
                <w:rFonts w:ascii="Times New Roman" w:hAnsi="Times New Roman" w:cs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«Энергоцентр на базе </w:t>
            </w:r>
            <w:r>
              <w:rPr>
                <w:rFonts w:ascii="Times New Roman" w:hAnsi="Times New Roman" w:cs="Times New Roman"/>
                <w:bCs/>
              </w:rPr>
              <w:t xml:space="preserve">газопоршневых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электро</w:t>
            </w:r>
            <w:r>
              <w:rPr>
                <w:rFonts w:ascii="Times New Roman" w:hAnsi="Times New Roman" w:cs="Times New Roman"/>
                <w:bCs/>
              </w:rPr>
              <w:t xml:space="preserve">генераторов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контейнерного исполнения</w:t>
            </w:r>
            <w:r>
              <w:rPr>
                <w:rFonts w:ascii="Times New Roman" w:hAnsi="Times New Roman" w:cs="Times New Roman"/>
                <w:bCs/>
              </w:rPr>
              <w:t xml:space="preserve">»</w:t>
            </w:r>
            <w:r>
              <w:rPr>
                <w:rFonts w:ascii="Times New Roman" w:hAnsi="Times New Roman" w:cs="Times New Roman"/>
                <w:bCs/>
              </w:rPr>
              <w:t xml:space="preserve"> (далее по тексту – Объект)</w:t>
            </w:r>
            <w:r>
              <w:rPr>
                <w:rFonts w:ascii="Times New Roman" w:hAnsi="Times New Roman" w:cs="Times New Roman"/>
                <w:bCs/>
              </w:rPr>
              <w:t xml:space="preserve">.</w:t>
            </w:r>
            <w:r>
              <w:rPr>
                <w:rFonts w:ascii="Times New Roman" w:hAnsi="Times New Roman" w:cs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Цель - </w:t>
            </w:r>
            <w:r>
              <w:rPr>
                <w:rFonts w:ascii="Times New Roman" w:hAnsi="Times New Roman" w:cs="Times New Roman"/>
                <w:bCs/>
              </w:rPr>
              <w:t xml:space="preserve">Обеспечение электроэнергией объект</w:t>
            </w:r>
            <w:r>
              <w:rPr>
                <w:rFonts w:ascii="Times New Roman" w:hAnsi="Times New Roman" w:cs="Times New Roman"/>
                <w:bCs/>
              </w:rPr>
              <w:t xml:space="preserve">а заказчика.</w:t>
            </w:r>
            <w:r>
              <w:rPr>
                <w:rFonts w:ascii="Times New Roman" w:hAnsi="Times New Roman" w:cs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</w:tr>
      <w:tr>
        <w:trPr>
          <w:trHeight w:val="689"/>
        </w:trPr>
        <w:tc>
          <w:tcPr>
            <w:tcW w:w="56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ヒラギノ角ゴ Pro W3" w:cs="Times New Roman"/>
                <w:bCs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W w:w="3545" w:type="dxa"/>
            <w:textDirection w:val="lrTb"/>
            <w:noWrap w:val="false"/>
          </w:tcPr>
          <w:p>
            <w:pPr>
              <w:ind w:firstLine="0"/>
              <w:jc w:val="left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Исходные данные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ind w:firstLine="0"/>
              <w:spacing w:line="271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Место выполнения работ</w:t>
            </w:r>
            <w:r>
              <w:rPr>
                <w:rFonts w:ascii="Times New Roman" w:hAnsi="Times New Roman" w:eastAsia="Times New Roman" w:cs="Times New Roman"/>
                <w:bCs/>
              </w:rPr>
              <w:t xml:space="preserve">:</w:t>
            </w:r>
            <w:r>
              <w:rPr>
                <w:rFonts w:ascii="Times New Roman" w:hAnsi="Times New Roman" w:cs="Times New Roman"/>
                <w:bCs/>
              </w:rPr>
            </w:r>
          </w:p>
          <w:p>
            <w:pPr>
              <w:ind w:firstLine="0"/>
              <w:spacing w:line="271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Тульская область, муниципальное образование Алексин, Склад Вайлдберриз</w:t>
            </w:r>
            <w:r>
              <w:rPr>
                <w:rFonts w:ascii="Times New Roman" w:hAnsi="Times New Roman" w:cs="Times New Roman"/>
                <w:bCs/>
              </w:rPr>
              <w:t xml:space="preserve">.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</w:r>
          </w:p>
          <w:p>
            <w:pPr>
              <w:ind w:firstLine="0"/>
              <w:spacing w:line="271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Кад</w:t>
            </w:r>
            <w:r>
              <w:rPr>
                <w:rFonts w:ascii="Times New Roman" w:hAnsi="Times New Roman" w:cs="Times New Roman"/>
                <w:bCs/>
              </w:rPr>
              <w:t xml:space="preserve">. № 71:01:020501:874 (координаты: 54.437186, 37.465248)</w:t>
            </w:r>
            <w:r>
              <w:rPr>
                <w:rFonts w:ascii="Times New Roman" w:hAnsi="Times New Roman" w:cs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Топливо – природный газ.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Расположение на объекте и точки присоединения в</w:t>
            </w:r>
            <w:r>
              <w:rPr>
                <w:rFonts w:ascii="Times New Roman" w:hAnsi="Times New Roman" w:eastAsia="Times New Roman" w:cs="Times New Roman"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</w:rPr>
              <w:t xml:space="preserve">сетям</w:t>
            </w:r>
            <w:r>
              <w:rPr>
                <w:rFonts w:ascii="Times New Roman" w:hAnsi="Times New Roman" w:eastAsia="Times New Roman" w:cs="Times New Roman"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</w:rPr>
              <w:t xml:space="preserve">электро</w:t>
            </w:r>
            <w:r>
              <w:rPr>
                <w:rFonts w:ascii="Times New Roman" w:hAnsi="Times New Roman" w:eastAsia="Times New Roman" w:cs="Times New Roman"/>
                <w:bCs/>
              </w:rPr>
              <w:t xml:space="preserve">/газоснабжения</w:t>
            </w:r>
            <w:r>
              <w:rPr>
                <w:rFonts w:ascii="Times New Roman" w:hAnsi="Times New Roman" w:eastAsia="Times New Roman" w:cs="Times New Roman"/>
                <w:bCs/>
              </w:rPr>
              <w:t xml:space="preserve"> в соответствии с: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  <w:p>
            <w:pPr>
              <w:pStyle w:val="734"/>
              <w:numPr>
                <w:ilvl w:val="0"/>
                <w:numId w:val="32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РД 71-09-21-РД-ЭП2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2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РД 71-09-21-РД-ЭС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2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РД 71-09-21-РД-ГП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2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РД 71-09-21-ИОС6.1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2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Зона посадки ГПЭС (схематично)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ТУ на подключение (технологическое присоединение) газоиспользующего оборудования и объектов капитального строительства к сетям газораспределения;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ТУ для согласования выбора коммерческого узла измерения расхода газа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ТУ на присоединение к электрическим сетям 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ТУ на электроснабжение собственных нужд 0,4кВ 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ТУ на подключение к сетям ОПС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ТУ на подключение к сетям связи (Телефонизации, Радиофикации, Диспетчеризации, Информационно-телекоммуникационная сеть "Интернет", Телевидения (при необходимости))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ind w:firstLine="0"/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В случае необходимости, по отдельному запросу, Заказчик предоставляет необходимые для заинтересованных организаций сведения, а также получает дополнительные документы (с помощью Исполнителя) если они будут истребованы заинтересованными организациями.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Times New Roman" w:hAnsi="Times New Roman" w:eastAsia="ヒラギノ角ゴ Pro W3" w:cs="Times New Roman"/>
                <w:bCs/>
              </w:rPr>
            </w:pPr>
            <w:r>
              <w:rPr>
                <w:rFonts w:ascii="Times New Roman" w:hAnsi="Times New Roman" w:eastAsia="ヒラギノ角ゴ Pro W3" w:cs="Times New Roman"/>
                <w:bCs/>
              </w:rPr>
              <w:t xml:space="preserve">3</w:t>
            </w:r>
            <w:r>
              <w:rPr>
                <w:rFonts w:ascii="Times New Roman" w:hAnsi="Times New Roman" w:eastAsia="ヒラギノ角ゴ Pro W3" w:cs="Times New Roman"/>
                <w:bCs/>
              </w:rPr>
            </w:r>
          </w:p>
        </w:tc>
        <w:tc>
          <w:tcPr>
            <w:tcW w:w="3545" w:type="dxa"/>
            <w:textDirection w:val="lrTb"/>
            <w:noWrap w:val="false"/>
          </w:tcPr>
          <w:p>
            <w:pPr>
              <w:ind w:firstLine="0"/>
              <w:jc w:val="left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Основные требования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Мощность энергоцентра</w:t>
            </w:r>
            <w:r>
              <w:rPr>
                <w:rFonts w:ascii="Times New Roman" w:hAnsi="Times New Roman" w:cs="Times New Roman"/>
                <w:bCs/>
              </w:rPr>
              <w:t xml:space="preserve">. </w:t>
            </w:r>
            <w:r>
              <w:rPr>
                <w:rFonts w:ascii="Times New Roman" w:hAnsi="Times New Roman"/>
                <w:bCs/>
              </w:rPr>
              <w:t xml:space="preserve">Предоставить предложения в двух вариантах</w:t>
            </w:r>
            <w:r>
              <w:rPr>
                <w:rFonts w:ascii="Times New Roman" w:hAnsi="Times New Roman"/>
                <w:bCs/>
              </w:rPr>
              <w:t xml:space="preserve"> исходя из</w:t>
            </w:r>
            <w:r>
              <w:rPr>
                <w:rFonts w:ascii="Times New Roman" w:hAnsi="Times New Roman"/>
                <w:bCs/>
              </w:rPr>
              <w:t xml:space="preserve"> величины</w:t>
            </w:r>
            <w:r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минимальной мощности, развиваемой энергоцентром без ограничения по времени непрерывной работы</w:t>
            </w:r>
            <w:r>
              <w:rPr>
                <w:rFonts w:ascii="Times New Roman" w:hAnsi="Times New Roman" w:cs="Times New Roman"/>
                <w:bCs/>
                <w:color w:val="4472c4" w:themeColor="accent5"/>
              </w:rPr>
              <w:t xml:space="preserve">*</w:t>
            </w:r>
            <w:r>
              <w:rPr>
                <w:rFonts w:ascii="Times New Roman" w:hAnsi="Times New Roman" w:cs="Times New Roman"/>
                <w:bCs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не ниже 500 кВт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не ниже 1 000 кВт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cs="Times New Roman"/>
                <w:bCs/>
                <w:i/>
                <w:iCs/>
                <w:color w:val="4472c4" w:themeColor="accent5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4472c4" w:themeColor="accent5"/>
              </w:rPr>
              <w:t xml:space="preserve">* - поставка мощности должна осуществляться даже в период сервисного обслуживания</w:t>
            </w:r>
            <w:r>
              <w:rPr>
                <w:rFonts w:ascii="Times New Roman" w:hAnsi="Times New Roman" w:cs="Times New Roman"/>
                <w:bCs/>
                <w:i/>
                <w:iCs/>
                <w:color w:val="4472c4" w:themeColor="accent5"/>
              </w:rPr>
              <w:t xml:space="preserve"> или иных технологических останов</w:t>
            </w:r>
            <w:r>
              <w:rPr>
                <w:rFonts w:ascii="Times New Roman" w:hAnsi="Times New Roman" w:cs="Times New Roman"/>
                <w:bCs/>
                <w:i/>
                <w:iCs/>
                <w:color w:val="4472c4" w:themeColor="accent5"/>
              </w:rPr>
              <w:t xml:space="preserve">ках эксплуатации</w:t>
            </w:r>
            <w:r>
              <w:rPr>
                <w:rFonts w:ascii="Times New Roman" w:hAnsi="Times New Roman" w:cs="Times New Roman"/>
                <w:bCs/>
                <w:i/>
                <w:iCs/>
                <w:color w:val="4472c4" w:themeColor="accent5"/>
              </w:rPr>
              <w:t xml:space="preserve">.</w:t>
            </w:r>
            <w:r>
              <w:rPr>
                <w:rFonts w:ascii="Times New Roman" w:hAnsi="Times New Roman" w:cs="Times New Roman"/>
                <w:bCs/>
                <w:i/>
                <w:iCs/>
                <w:color w:val="4472c4" w:themeColor="accent5"/>
              </w:rPr>
            </w:r>
          </w:p>
          <w:p>
            <w:pPr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Напряжение – </w:t>
            </w:r>
            <w:r>
              <w:rPr>
                <w:rFonts w:ascii="Times New Roman" w:hAnsi="Times New Roman" w:cs="Times New Roman"/>
                <w:bCs/>
              </w:rPr>
              <w:t xml:space="preserve">10,5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кВ</w:t>
            </w:r>
            <w:r>
              <w:rPr>
                <w:rFonts w:ascii="Times New Roman" w:hAnsi="Times New Roman" w:cs="Times New Roman"/>
                <w:bCs/>
              </w:rPr>
              <w:t xml:space="preserve">; </w:t>
            </w:r>
            <w:r>
              <w:rPr>
                <w:rFonts w:ascii="Times New Roman" w:hAnsi="Times New Roman" w:cs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Частота – 50 Гц;</w:t>
            </w:r>
            <w:r>
              <w:rPr>
                <w:rFonts w:ascii="Times New Roman" w:hAnsi="Times New Roman" w:cs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Количество отходящих фидеров – 2.</w:t>
            </w:r>
            <w:r>
              <w:rPr>
                <w:rFonts w:ascii="Times New Roman" w:hAnsi="Times New Roman" w:cs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Возможные режим работы:</w:t>
            </w:r>
            <w:r>
              <w:rPr>
                <w:rFonts w:ascii="Times New Roman" w:hAnsi="Times New Roman" w:cs="Times New Roman"/>
                <w:bCs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Параллельная работа с сетью с выдачей фиксированной мощности;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Резервирование сети (с синхронизацией);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ascii="Times New Roman" w:hAnsi="Times New Roman" w:eastAsiaTheme="minorEastAsia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Параллельная работа с другими генераторами мощност</w:t>
            </w:r>
            <w:r>
              <w:rPr>
                <w:rFonts w:ascii="Times New Roman" w:hAnsi="Times New Roman"/>
                <w:bCs/>
              </w:rPr>
              <w:t xml:space="preserve">и</w:t>
            </w:r>
            <w:r>
              <w:rPr>
                <w:rFonts w:ascii="Times New Roman" w:hAnsi="Times New Roman"/>
                <w:bCs/>
              </w:rPr>
              <w:t xml:space="preserve">;</w:t>
            </w:r>
            <w:r>
              <w:rPr>
                <w:rFonts w:ascii="Times New Roman" w:hAnsi="Times New Roman" w:eastAsiaTheme="minorEastAsia"/>
                <w:bCs/>
              </w:rPr>
            </w:r>
          </w:p>
          <w:p>
            <w:pPr>
              <w:ind w:firstLine="0"/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Б</w:t>
            </w:r>
            <w:r>
              <w:rPr>
                <w:rFonts w:ascii="Times New Roman" w:hAnsi="Times New Roman" w:eastAsia="Times New Roman"/>
                <w:bCs/>
              </w:rPr>
              <w:t xml:space="preserve">лочно</w:t>
            </w:r>
            <w:r>
              <w:rPr>
                <w:rFonts w:ascii="Times New Roman" w:hAnsi="Times New Roman" w:eastAsia="Times New Roman"/>
                <w:bCs/>
              </w:rPr>
              <w:t xml:space="preserve">-модульно</w:t>
            </w:r>
            <w:r>
              <w:rPr>
                <w:rFonts w:ascii="Times New Roman" w:hAnsi="Times New Roman" w:eastAsia="Times New Roman"/>
                <w:bCs/>
              </w:rPr>
              <w:t xml:space="preserve">е</w:t>
            </w:r>
            <w:r>
              <w:rPr>
                <w:rFonts w:ascii="Times New Roman" w:hAnsi="Times New Roman" w:eastAsia="Times New Roman"/>
                <w:bCs/>
              </w:rPr>
              <w:t xml:space="preserve"> или контейнерное</w:t>
            </w:r>
            <w:r>
              <w:rPr>
                <w:rFonts w:ascii="Times New Roman" w:hAnsi="Times New Roman" w:eastAsia="Times New Roman"/>
                <w:bCs/>
              </w:rPr>
              <w:t xml:space="preserve"> исполнени</w:t>
            </w:r>
            <w:r>
              <w:rPr>
                <w:rFonts w:ascii="Times New Roman" w:hAnsi="Times New Roman" w:eastAsia="Times New Roman"/>
                <w:bCs/>
              </w:rPr>
              <w:t xml:space="preserve">е.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В конструкции должна быть предусмотрена возможность его перемещения подъемно-транспортными средствами, а также монтаж на транспортном средстве.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ind w:firstLine="0"/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ind w:firstLine="0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Установка и эксплуатация на открытом воздухе с воздействием любых атмосферных факторов (дождь, ливень, снег, пыль при сильном ветре)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.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ind w:firstLine="0"/>
              <w:spacing w:line="271" w:lineRule="auto"/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Климатическое исполнение: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ind w:firstLine="0"/>
              <w:spacing w:line="271" w:lineRule="auto"/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У1, У2, </w:t>
            </w:r>
            <w:r>
              <w:rPr>
                <w:rFonts w:ascii="Times New Roman" w:hAnsi="Times New Roman" w:eastAsia="Times New Roman"/>
                <w:bCs/>
              </w:rPr>
              <w:t xml:space="preserve">умеренный климат (–45…+40° С)</w:t>
            </w:r>
            <w:r>
              <w:rPr>
                <w:rFonts w:ascii="Times New Roman" w:hAnsi="Times New Roman" w:eastAsia="Times New Roman"/>
                <w:bCs/>
              </w:rPr>
              <w:t xml:space="preserve">. 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ind w:firstLine="0"/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Fonts w:eastAsiaTheme="minorHAnsi"/>
                <w:bCs/>
                <w:sz w:val="22"/>
                <w:szCs w:val="22"/>
              </w:rPr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ヒラギノ角ゴ Pro W3" w:cs="Times New Roman"/>
                <w:bCs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W w:w="3545" w:type="dxa"/>
            <w:textDirection w:val="lrTb"/>
            <w:noWrap w:val="false"/>
          </w:tcPr>
          <w:p>
            <w:pPr>
              <w:ind w:firstLine="0"/>
              <w:jc w:val="left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Объем работ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ind w:firstLine="0"/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1. Разработка и согласование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комплекта проектной документации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, с п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роведение всех необходимых изысканий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.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ind w:firstLine="0"/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Перечень и состав документации определяется Исполнителем, согласовывается Заказчиком. 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ind w:firstLine="0"/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Разработанная документация должна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соответствовать 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нормативной документацией и 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требованиям законодательства РФ и 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обеспечивать получение разрешения на выделение земельного участка под строительство, необходимых допусков и разрешений на ввод в эксплуатацию энергоцентра и подачи электроэнергии на объект Заказчика в органах Ростехнадзора.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ind w:firstLine="0"/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/>
            <w:commentRangeStart w:id="0"/>
            <w:r/>
            <w:commentRangeEnd w:id="0"/>
            <w:r>
              <w:commentReference w:id="0"/>
            </w:r>
            <w:r>
              <w:rPr>
                <w:rStyle w:val="753"/>
              </w:rPr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ind w:firstLine="0"/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2. Закупка и поставка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полного комплекта оборудования 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энергоблоков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в необходимом количестве для гарантированного обеспечения потребностей Заказчика (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в соответствии с требованиями 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п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ункта 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3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настоящего ТЗ)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.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ind w:firstLine="0"/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Количество и состав оборудования определяется Исполнителем.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ind w:firstLine="0"/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Заказчик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особо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отмечает необходимость предусмотреть Исполнителем в составе энергоцентра систем: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pStyle w:val="734"/>
              <w:numPr>
                <w:ilvl w:val="0"/>
                <w:numId w:val="33"/>
              </w:numPr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автоматического пожаротушения;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pStyle w:val="734"/>
              <w:numPr>
                <w:ilvl w:val="0"/>
                <w:numId w:val="33"/>
              </w:numPr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автоматизированного управления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(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2-ая с</w:t>
            </w:r>
            <w:r>
              <w:rPr>
                <w:rStyle w:val="749"/>
                <w:rFonts w:eastAsiaTheme="minorHAnsi"/>
                <w:sz w:val="22"/>
                <w:szCs w:val="22"/>
              </w:rPr>
              <w:t xml:space="preserve">тепень автоматизации по ГОСТ 33115-2014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)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;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pStyle w:val="734"/>
              <w:numPr>
                <w:ilvl w:val="0"/>
                <w:numId w:val="33"/>
              </w:numPr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отвода отработавших газов;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pStyle w:val="734"/>
              <w:numPr>
                <w:ilvl w:val="0"/>
                <w:numId w:val="33"/>
              </w:numPr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учёта расхода электрической энергии (мощности), потребленной объектом Заказчика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, а также учета потребления топлива;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pStyle w:val="734"/>
              <w:numPr>
                <w:ilvl w:val="0"/>
                <w:numId w:val="33"/>
              </w:numPr>
              <w:spacing w:line="271" w:lineRule="auto"/>
              <w:rPr>
                <w:rStyle w:val="749"/>
                <w:rFonts w:eastAsiaTheme="minorHAnsi"/>
                <w:sz w:val="22"/>
                <w:szCs w:val="22"/>
              </w:rPr>
            </w:pPr>
            <w:r>
              <w:rPr>
                <w:rStyle w:val="749"/>
                <w:rFonts w:eastAsiaTheme="minorHAnsi"/>
                <w:sz w:val="22"/>
                <w:szCs w:val="22"/>
              </w:rPr>
              <w:t xml:space="preserve">защиты электрических цепей от токов короткого замыкания и перегрузок выше допускаемых.</w:t>
            </w:r>
            <w:r>
              <w:rPr>
                <w:rStyle w:val="749"/>
                <w:rFonts w:eastAsiaTheme="minorHAnsi"/>
                <w:sz w:val="22"/>
                <w:szCs w:val="22"/>
              </w:rPr>
            </w:r>
          </w:p>
          <w:p>
            <w:pPr>
              <w:pStyle w:val="734"/>
              <w:ind w:firstLine="0"/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Fonts w:eastAsiaTheme="minorHAnsi"/>
                <w:bCs/>
                <w:sz w:val="22"/>
                <w:szCs w:val="22"/>
              </w:rPr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ind w:firstLine="0"/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Fonts w:eastAsiaTheme="minorHAnsi"/>
                <w:bCs/>
                <w:sz w:val="22"/>
                <w:szCs w:val="22"/>
              </w:rPr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ind w:firstLine="0"/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3. Выполнение 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строительно-монтажных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работ (фундамент, подключение к инженерным сетям, монтаж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пуско-наладка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основного и вспомогательного оборудования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, определенного в подпункте 2 настоящего пункта ТЗ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)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.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Включая подготовку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комплекта исполнительной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и разрешительной документации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. 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ind w:firstLine="0"/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Fonts w:eastAsiaTheme="minorHAnsi"/>
                <w:bCs/>
                <w:sz w:val="22"/>
                <w:szCs w:val="22"/>
              </w:rPr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ind w:firstLine="0"/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4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. 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Сервисное обслуживание Объекта и иные работы, необходимые для обеспечения бесперебойной поставки мощности для нужд Объекта Заказчика на срок до 8 лет включительно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</w:t>
            </w:r>
            <w:r>
              <w:rPr>
                <w:rStyle w:val="749"/>
                <w:rFonts w:eastAsiaTheme="minorHAnsi"/>
              </w:rPr>
              <w:t xml:space="preserve">в объеме указанном в 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п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ункте 3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 настоящего ТЗ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.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ind w:firstLine="0"/>
              <w:spacing w:line="271" w:lineRule="auto"/>
              <w:rPr>
                <w:rStyle w:val="749"/>
                <w:rFonts w:eastAsiaTheme="minorHAnsi"/>
                <w:bCs/>
                <w:sz w:val="22"/>
                <w:szCs w:val="22"/>
              </w:rPr>
            </w:pPr>
            <w:r>
              <w:rPr>
                <w:rStyle w:val="749"/>
                <w:rFonts w:eastAsiaTheme="minorHAnsi"/>
                <w:bCs/>
                <w:sz w:val="22"/>
                <w:szCs w:val="22"/>
              </w:rPr>
              <w:t xml:space="preserve">Все работы за счет Исполнителя включая, но не ограничиваясь:</w:t>
            </w:r>
            <w:r>
              <w:rPr>
                <w:rStyle w:val="749"/>
                <w:rFonts w:eastAsiaTheme="minorHAnsi"/>
                <w:bCs/>
                <w:sz w:val="22"/>
                <w:szCs w:val="22"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обучение персонала Заказчика;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обеспечение операционными запчастями и материалами (смазочными) для энергоцентра; 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обеспечение необходимыми комплектующими и материалами для проведения ремонтных работ.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ind w:firstLine="0"/>
              <w:spacing w:line="271" w:lineRule="auto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Times New Roman" w:hAnsi="Times New Roman" w:eastAsia="ヒラギノ角ゴ Pro W3" w:cs="Times New Roman"/>
                <w:bCs/>
              </w:rPr>
            </w:pPr>
            <w:r>
              <w:rPr>
                <w:rFonts w:ascii="Times New Roman" w:hAnsi="Times New Roman" w:eastAsia="ヒラギノ角ゴ Pro W3" w:cs="Times New Roman"/>
                <w:bCs/>
              </w:rPr>
              <w:t xml:space="preserve">5</w:t>
            </w:r>
            <w:r>
              <w:rPr>
                <w:rFonts w:ascii="Times New Roman" w:hAnsi="Times New Roman" w:eastAsia="ヒラギノ角ゴ Pro W3" w:cs="Times New Roman"/>
                <w:bCs/>
              </w:rPr>
            </w:r>
          </w:p>
        </w:tc>
        <w:tc>
          <w:tcPr>
            <w:tcW w:w="3545" w:type="dxa"/>
            <w:textDirection w:val="lrTb"/>
            <w:noWrap w:val="false"/>
          </w:tcPr>
          <w:p>
            <w:pPr>
              <w:ind w:firstLine="0"/>
              <w:jc w:val="left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Требования к использованию нормативной документации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ТР ТС 010/2011 «О безопасности машин и оборудования»;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ТР ТС 016/2011 «О безопасности аппаратов, работающих на газообразном топливе»;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ТР ТС 004/2011 «О безопасности низковольтного оборудования»;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ТР ТС 020/2011 «Электромагнитная совместимость технических средств»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СП 47.13330.2016 "СНиП 11-02-96 Инженерные изыскания для строительства. Основные положения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ГОСТ 21.301-2014 "Система проектной документации для строительства. Основные требования к оформлению отчетной документации по инженерным изысканиям".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ГОСТ 15150-69 «Машины, приборы и другие технические изделия. Исполнения для различных климатических районов»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ГОСТ 33115-2014 «Установки электрогенераторные с дизельными и газовыми двигателями внутреннего сгорания»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СП 2.2.3670-20 «Санитарно-эпидемиологические требования к условиям труда», утвержденными постановлением от 02.12.2020г. № 40;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СП 4.13130.2013 «Системы противопожарной защиты. Ограничение распространения пожара на объектах защиты. Требования к объемно-планировочным и конструктивным решениям» с изменением №1 и №2;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СП 7.13130.2013 «</w:t>
            </w:r>
            <w:r>
              <w:rPr>
                <w:rStyle w:val="749"/>
                <w:bCs/>
                <w:sz w:val="22"/>
                <w:szCs w:val="22"/>
              </w:rPr>
              <w:t xml:space="preserve">Отопление, вентиляция</w:t>
            </w:r>
            <w:r>
              <w:rPr>
                <w:rStyle w:val="749"/>
                <w:bCs/>
                <w:sz w:val="22"/>
                <w:szCs w:val="22"/>
              </w:rPr>
              <w:t xml:space="preserve"> и </w:t>
            </w:r>
            <w:r>
              <w:rPr>
                <w:rStyle w:val="749"/>
                <w:bCs/>
                <w:sz w:val="22"/>
                <w:szCs w:val="22"/>
              </w:rPr>
              <w:t xml:space="preserve">кондиционирование. Противопожарные требования», утвержденными приказом Министерства регионального развития Российской Федерации от 30.06.2012 г. № 279;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СП 8.13130 «Системы противопожарной защиты. Наружное противопожарное водоснабжение. Требования пожарной безопасности» (утв. Приказом МЧС России от 30.03.2020 № 225);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СП 18.13330.2019 Производственные объекты. Планировочная организация земельного участка (генеральные планы промышленных предприятий);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СП 42-101-2003 «Общие положения по проектированию и строительству газораспределительных систем из металлических и полиэтиленовых труб»;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СП 42-102-2004 «Проектирование и строительство газопроводов из металлических труб»;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СП 60.13330.2020 «Отопление, вентиляция и кондиционирование воздуха»;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СП 62.13330.2011 «Газораспределительные системы»;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СП 89.13330.2016 «СНиП III-35-76 «Котельные установки»;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СП 124.13330.2012 «Тепловые сети»;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СП 131.13330.2020 «Строительная климатология"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СП 485.1311500.2020 «Системы противопожарной защиты. Установки пожаротушения автоматические. Нормы и правила проектирования»;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«Правила технической эксплуатации тепловых энергоустановок» утвержденных приказом Минэнерго РФ № 115 от 24.03.2003 г.;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Правилам устройства электроустановок (ПУЭ);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pStyle w:val="750"/>
              <w:spacing w:line="271" w:lineRule="auto"/>
              <w:rPr>
                <w:rStyle w:val="749"/>
                <w:bCs/>
                <w:sz w:val="22"/>
                <w:szCs w:val="22"/>
              </w:rPr>
            </w:pPr>
            <w:r>
              <w:rPr>
                <w:rStyle w:val="749"/>
                <w:bCs/>
                <w:sz w:val="22"/>
                <w:szCs w:val="22"/>
              </w:rPr>
              <w:t xml:space="preserve">Правилам технической эксплуатации электрических станций и сетей, утверждённым приказом Минэнерго России от 04.10. 2022 № 1070;</w:t>
            </w:r>
            <w:r>
              <w:rPr>
                <w:rStyle w:val="749"/>
                <w:bCs/>
                <w:sz w:val="22"/>
                <w:szCs w:val="22"/>
              </w:rPr>
            </w:r>
          </w:p>
          <w:p>
            <w:pPr>
              <w:ind w:firstLine="0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Style w:val="749"/>
                <w:rFonts w:eastAsia="Calibri"/>
                <w:bCs/>
                <w:sz w:val="22"/>
                <w:szCs w:val="22"/>
              </w:rPr>
              <w:t xml:space="preserve">«Правилами охраны газораспределительных сетей», утверждёнными постановлением Правительства РФ от 20.11.2000 № 878;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W w:w="3545" w:type="dxa"/>
            <w:textDirection w:val="lrTb"/>
            <w:noWrap w:val="false"/>
          </w:tcPr>
          <w:p>
            <w:pPr>
              <w:ind w:firstLine="0"/>
              <w:jc w:val="left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Пожарная безопасность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ind w:firstLine="0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Проектная документация в законченном виде должна соответствовать требованиям № 123-ФЗ «Технический регламент о требованиях пожарной безопасности», в части обеспечения пожарной и иной безопасности сооружения</w:t>
            </w:r>
            <w:r>
              <w:rPr>
                <w:rFonts w:ascii="Times New Roman" w:hAnsi="Times New Roman" w:eastAsia="Times New Roman" w:cs="Times New Roman"/>
                <w:bCs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W w:w="3545" w:type="dxa"/>
            <w:textDirection w:val="lrTb"/>
            <w:noWrap w:val="false"/>
          </w:tcPr>
          <w:p>
            <w:pPr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Требования к организации-Исполнителю.</w:t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734"/>
              <w:numPr>
                <w:ilvl w:val="0"/>
                <w:numId w:val="9"/>
              </w:numPr>
              <w:rPr>
                <w:rFonts w:ascii="Times New Roman" w:hAnsi="Times New Roman" w:eastAsia="Times New Roman"/>
                <w:bCs/>
              </w:rPr>
            </w:pPr>
            <w:r/>
            <w:commentRangeStart w:id="1"/>
            <w:r/>
            <w:commentRangeEnd w:id="1"/>
            <w:r>
              <w:commentReference w:id="1"/>
            </w:r>
            <w:r>
              <w:rPr>
                <w:rFonts w:ascii="Times New Roman" w:hAnsi="Times New Roman" w:eastAsia="Times New Roman"/>
                <w:bCs/>
              </w:rPr>
              <w:t xml:space="preserve">Опыт выполнения аналогичных видов работ </w:t>
            </w:r>
            <w:r>
              <w:rPr>
                <w:rFonts w:ascii="Times New Roman" w:hAnsi="Times New Roman" w:eastAsia="Times New Roman"/>
                <w:bCs/>
              </w:rPr>
              <w:t xml:space="preserve">в течение </w:t>
            </w:r>
            <w:r>
              <w:rPr>
                <w:rFonts w:ascii="Times New Roman" w:hAnsi="Times New Roman" w:eastAsia="Times New Roman"/>
                <w:bCs/>
                <w:color w:val="000000"/>
                <w:lang w:eastAsia="en-US"/>
              </w:rPr>
              <w:t xml:space="preserve">3</w:t>
            </w:r>
            <w:r>
              <w:rPr>
                <w:rFonts w:ascii="Times New Roman" w:hAnsi="Times New Roman" w:eastAsia="Times New Roman"/>
                <w:bCs/>
                <w:color w:val="000000"/>
                <w:lang w:eastAsia="en-US"/>
              </w:rPr>
              <w:t xml:space="preserve">-х</w:t>
            </w:r>
            <w:r>
              <w:rPr>
                <w:rFonts w:ascii="Times New Roman" w:hAnsi="Times New Roman" w:eastAsia="Times New Roman"/>
                <w:bCs/>
                <w:color w:val="000000"/>
                <w:lang w:eastAsia="en-US"/>
              </w:rPr>
              <w:t xml:space="preserve"> </w:t>
            </w:r>
            <w:r>
              <w:rPr>
                <w:rFonts w:ascii="Times New Roman" w:hAnsi="Times New Roman" w:eastAsia="Times New Roman"/>
                <w:bCs/>
                <w:color w:val="000000"/>
                <w:lang w:eastAsia="en-US"/>
              </w:rPr>
              <w:t xml:space="preserve">лет</w:t>
            </w:r>
            <w:r>
              <w:rPr>
                <w:rFonts w:ascii="Times New Roman" w:hAnsi="Times New Roman" w:eastAsia="Times New Roman"/>
                <w:bCs/>
                <w:color w:val="000000"/>
                <w:lang w:eastAsia="en-US"/>
              </w:rPr>
              <w:t xml:space="preserve">, </w:t>
            </w:r>
            <w:r>
              <w:rPr>
                <w:rFonts w:ascii="Times New Roman" w:hAnsi="Times New Roman" w:eastAsia="Times New Roman"/>
                <w:bCs/>
                <w:color w:val="000000"/>
                <w:lang w:eastAsia="en-US"/>
              </w:rPr>
              <w:t xml:space="preserve">предшествующих</w:t>
            </w:r>
            <w:r>
              <w:rPr>
                <w:rFonts w:ascii="Times New Roman" w:hAnsi="Times New Roman" w:eastAsia="Times New Roman"/>
                <w:bCs/>
                <w:color w:val="000000"/>
                <w:lang w:eastAsia="en-US"/>
              </w:rPr>
              <w:t xml:space="preserve"> проведени</w:t>
            </w:r>
            <w:r>
              <w:rPr>
                <w:rFonts w:ascii="Times New Roman" w:hAnsi="Times New Roman" w:eastAsia="Times New Roman"/>
                <w:bCs/>
                <w:color w:val="000000"/>
                <w:lang w:eastAsia="en-US"/>
              </w:rPr>
              <w:t xml:space="preserve">ю</w:t>
            </w:r>
            <w:r>
              <w:rPr>
                <w:rFonts w:ascii="Times New Roman" w:hAnsi="Times New Roman" w:eastAsia="Times New Roman"/>
                <w:bCs/>
                <w:color w:val="000000"/>
                <w:lang w:eastAsia="en-US"/>
              </w:rPr>
              <w:t xml:space="preserve"> </w:t>
            </w:r>
            <w:r>
              <w:rPr>
                <w:rFonts w:ascii="Times New Roman" w:hAnsi="Times New Roman" w:eastAsia="Times New Roman"/>
                <w:bCs/>
                <w:color w:val="000000"/>
                <w:lang w:eastAsia="en-US"/>
              </w:rPr>
              <w:t xml:space="preserve">настоящему запросу.</w:t>
            </w:r>
            <w:commentRangeStart w:id="2"/>
            <w:r/>
            <w:commentRangeEnd w:id="2"/>
            <w:r>
              <w:commentReference w:id="2"/>
            </w:r>
            <w:r>
              <w:rPr>
                <w:rStyle w:val="753"/>
                <w:rFonts w:asciiTheme="minorHAnsi" w:hAnsiTheme="minorHAnsi" w:eastAsiaTheme="minorEastAsia" w:cstheme="minorBidi"/>
              </w:rPr>
            </w:r>
            <w:r>
              <w:rPr>
                <w:rFonts w:ascii="Times New Roman" w:hAnsi="Times New Roman" w:eastAsia="Times New Roman"/>
                <w:bCs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W w:w="3545" w:type="dxa"/>
            <w:textDirection w:val="lrTb"/>
            <w:noWrap w:val="false"/>
          </w:tcPr>
          <w:p>
            <w:pPr>
              <w:ind w:firstLine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Гарантийные обязательства </w:t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ind w:firstLine="0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Гарантия на выполненные работы должна составлять не менее </w:t>
            </w:r>
            <w:r>
              <w:rPr>
                <w:rFonts w:ascii="Times New Roman" w:hAnsi="Times New Roman" w:eastAsia="Times New Roman" w:cs="Times New Roman"/>
                <w:bCs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bCs/>
              </w:rPr>
              <w:t xml:space="preserve"> месяцев с даты подписания Заказчиком акта выполненных работ. Исполнитель гарантирует бесплатн</w:t>
            </w:r>
            <w:r>
              <w:rPr>
                <w:rFonts w:ascii="Times New Roman" w:hAnsi="Times New Roman" w:eastAsia="Times New Roman" w:cs="Times New Roman"/>
                <w:bCs/>
              </w:rPr>
              <w:t xml:space="preserve">ое исправление недостатков исполнительной и рабочей документации, в случае их обнаружения, устранение дефектов монтажных работ и брака поставленного оборудования, а также полную компенсацию расходов на устранение ущерба, связанного с выявленными дефектами.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</w:tr>
      <w:tr>
        <w:trPr/>
        <w:tc>
          <w:tcPr>
            <w:tcW w:w="56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W w:w="3545" w:type="dxa"/>
            <w:textDirection w:val="lrTb"/>
            <w:noWrap w:val="false"/>
          </w:tcPr>
          <w:p>
            <w:pPr>
              <w:pStyle w:val="761"/>
              <w:jc w:val="both"/>
              <w:rPr>
                <w:bCs/>
              </w:rPr>
            </w:pP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  <w:t xml:space="preserve">Требования к информации, предоставляемой в составе технико-коммерческого предложения.</w:t>
            </w:r>
            <w:r>
              <w:rPr>
                <w:bCs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761"/>
              <w:jc w:val="both"/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  <w:t xml:space="preserve">К</w:t>
            </w: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  <w:t xml:space="preserve">оммерческую информацию</w:t>
            </w: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  <w:t xml:space="preserve">.</w:t>
            </w: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</w:r>
          </w:p>
          <w:p>
            <w:pPr>
              <w:pStyle w:val="761"/>
              <w:jc w:val="both"/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  <w:t xml:space="preserve">Предоставляется Исполнителем</w:t>
            </w: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  <w:t xml:space="preserve"> в виде стоимости и длительности видов работ по следующим разделам:</w:t>
            </w:r>
            <w:r>
              <w:rPr>
                <w:rFonts w:eastAsiaTheme="minorEastAsia"/>
                <w:bCs/>
              </w:rPr>
            </w:r>
          </w:p>
          <w:p>
            <w:pPr>
              <w:pStyle w:val="761"/>
              <w:jc w:val="both"/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  <w:t xml:space="preserve">1. Строительство объекта генерации:</w:t>
            </w: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Проектные работы; </w:t>
            </w:r>
            <w:r>
              <w:rPr>
                <w:rFonts w:eastAsia="Times New Roman"/>
                <w:bCs/>
              </w:rPr>
            </w:r>
          </w:p>
          <w:p>
            <w:pPr>
              <w:pStyle w:val="761"/>
              <w:numPr>
                <w:ilvl w:val="0"/>
                <w:numId w:val="31"/>
              </w:numP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Строительно-монтажные работы энергоцентра; 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Строительно-монтажные работы </w:t>
            </w:r>
            <w:r>
              <w:rPr>
                <w:rFonts w:ascii="Times New Roman" w:hAnsi="Times New Roman" w:eastAsia="Times New Roman"/>
                <w:bCs/>
              </w:rPr>
              <w:t xml:space="preserve">ЛЭП, газопровода</w:t>
            </w:r>
            <w:r>
              <w:rPr>
                <w:rFonts w:ascii="Times New Roman" w:hAnsi="Times New Roman" w:eastAsia="Times New Roman"/>
                <w:bCs/>
              </w:rPr>
              <w:t xml:space="preserve"> и иных необходимых </w:t>
            </w:r>
            <w:r>
              <w:rPr>
                <w:rFonts w:ascii="Times New Roman" w:hAnsi="Times New Roman" w:eastAsia="Times New Roman"/>
                <w:bCs/>
              </w:rPr>
              <w:t xml:space="preserve">объетов</w:t>
            </w:r>
            <w:r>
              <w:rPr>
                <w:rFonts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Производство и поставка генерирующего объекта</w:t>
            </w:r>
            <w:r>
              <w:rPr>
                <w:rFonts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ascii="Times New Roman" w:hAnsi="Times New Roman"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Пуско-наладочные работы</w:t>
            </w:r>
            <w:r>
              <w:rPr>
                <w:rFonts w:ascii="Times New Roman" w:hAnsi="Times New Roman" w:eastAsia="Times New Roman"/>
                <w:bCs/>
              </w:rPr>
            </w:r>
          </w:p>
          <w:p>
            <w:pPr>
              <w:pStyle w:val="734"/>
              <w:numPr>
                <w:ilvl w:val="0"/>
                <w:numId w:val="31"/>
              </w:numPr>
              <w:rPr>
                <w:rFonts w:eastAsia="Times New Roman"/>
                <w:bCs/>
              </w:rPr>
            </w:pPr>
            <w:r>
              <w:rPr>
                <w:rFonts w:ascii="Times New Roman" w:hAnsi="Times New Roman" w:eastAsia="Times New Roman"/>
                <w:bCs/>
              </w:rPr>
              <w:t xml:space="preserve">Иное, определенное Исполнителем</w:t>
            </w:r>
            <w:r>
              <w:rPr>
                <w:rFonts w:eastAsia="Times New Roman"/>
                <w:bCs/>
              </w:rPr>
            </w:r>
          </w:p>
          <w:p>
            <w:pPr>
              <w:pStyle w:val="761"/>
              <w:jc w:val="both"/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  <w:t xml:space="preserve">2.. Эксплуатация объекта:</w:t>
            </w: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</w:r>
          </w:p>
          <w:p>
            <w:pPr>
              <w:pStyle w:val="761"/>
              <w:numPr>
                <w:ilvl w:val="0"/>
                <w:numId w:val="31"/>
              </w:numP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График сервисного обслуживания в период эксплуатации 8 лет (включая капитальный ремонт при необходимости);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r>
          </w:p>
          <w:p>
            <w:pPr>
              <w:pStyle w:val="761"/>
              <w:numPr>
                <w:ilvl w:val="0"/>
                <w:numId w:val="31"/>
              </w:numP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Стоимость сервисного обслуживания включая все расходы, необходимые для гарантированного обеспечения потребностей Заказчика (в соответствии с требованиями пункта 3 настоящего ТЗ).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r>
          </w:p>
          <w:p>
            <w:pPr>
              <w:pStyle w:val="761"/>
              <w:jc w:val="both"/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</w: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</w:r>
          </w:p>
          <w:p>
            <w:pPr>
              <w:pStyle w:val="761"/>
              <w:jc w:val="both"/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  <w:t xml:space="preserve">Техническая информация.</w:t>
            </w: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</w:r>
          </w:p>
          <w:p>
            <w:pPr>
              <w:pStyle w:val="761"/>
              <w:jc w:val="both"/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  <w:t xml:space="preserve">Исполнитель предоставляет полное описание всего планируемого к поставке оборудование, включая:</w:t>
            </w: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</w:r>
          </w:p>
          <w:p>
            <w:pPr>
              <w:pStyle w:val="761"/>
              <w:numPr>
                <w:ilvl w:val="0"/>
                <w:numId w:val="31"/>
              </w:numP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Состав оборудования;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r>
          </w:p>
          <w:p>
            <w:pPr>
              <w:pStyle w:val="761"/>
              <w:numPr>
                <w:ilvl w:val="0"/>
                <w:numId w:val="31"/>
              </w:numP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Наименование производителя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, страна происхождения;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r>
          </w:p>
          <w:p>
            <w:pPr>
              <w:pStyle w:val="761"/>
              <w:numPr>
                <w:ilvl w:val="0"/>
                <w:numId w:val="31"/>
              </w:numP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Т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ехнические характеристики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 основного и вспомогательного оборудования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; 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r>
          </w:p>
          <w:p>
            <w:pPr>
              <w:pStyle w:val="761"/>
              <w:numPr>
                <w:ilvl w:val="0"/>
                <w:numId w:val="31"/>
              </w:numP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Перечень и состав проектной и разрешительной документации.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r>
          </w:p>
          <w:p>
            <w:pPr>
              <w:pStyle w:val="761"/>
              <w:numPr>
                <w:ilvl w:val="0"/>
                <w:numId w:val="31"/>
              </w:numP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Описание объема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 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с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троительно-монтажные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 и пуско-наладочных 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работ,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 учтенных в 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цене коммерческого предложения;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r>
          </w:p>
          <w:p>
            <w:pPr>
              <w:pStyle w:val="761"/>
              <w:numPr>
                <w:ilvl w:val="0"/>
                <w:numId w:val="31"/>
              </w:numP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  <w:t xml:space="preserve">Описание всех необходимых стадий сервисного обслуживания с указанием графика обслуживания и часов наработки.</w:t>
            </w:r>
            <w:r>
              <w:rPr>
                <w:rFonts w:eastAsia="Times New Roman"/>
                <w:bCs/>
                <w:color w:val="auto"/>
                <w:sz w:val="22"/>
                <w:szCs w:val="22"/>
                <w:lang w:eastAsia="ru-RU"/>
              </w:rPr>
            </w:r>
          </w:p>
          <w:p>
            <w:pPr>
              <w:pStyle w:val="761"/>
              <w:jc w:val="both"/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</w:pP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</w:r>
            <w:r>
              <w:rPr>
                <w:rFonts w:eastAsiaTheme="minorEastAsia"/>
                <w:bCs/>
                <w:color w:val="auto"/>
                <w:sz w:val="22"/>
                <w:szCs w:val="22"/>
                <w:lang w:eastAsia="ru-RU"/>
              </w:rPr>
            </w:r>
          </w:p>
          <w:p>
            <w:pPr>
              <w:pStyle w:val="761"/>
              <w:jc w:val="both"/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</w:r>
            <w:r>
              <w:rPr>
                <w:rFonts w:eastAsiaTheme="minorEastAsia"/>
                <w:bCs/>
              </w:rPr>
            </w:r>
          </w:p>
        </w:tc>
      </w:tr>
    </w:tbl>
    <w:p>
      <w:pPr>
        <w:ind w:firstLine="0"/>
        <w:tabs>
          <w:tab w:val="left" w:pos="6237" w:leader="none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>
      <w:pPr>
        <w:ind w:firstLine="0"/>
        <w:rPr>
          <w:rFonts w:ascii="Times New Roman" w:hAnsi="Times New Roman" w:eastAsia="Times New Roman"/>
          <w:i/>
        </w:rPr>
      </w:pPr>
      <w:r>
        <w:rPr>
          <w:rFonts w:ascii="Times New Roman" w:hAnsi="Times New Roman" w:eastAsia="Times New Roman"/>
          <w:i/>
        </w:rPr>
      </w:r>
      <w:r>
        <w:rPr>
          <w:rFonts w:ascii="Times New Roman" w:hAnsi="Times New Roman" w:eastAsia="Times New Roman"/>
          <w:i/>
        </w:rPr>
      </w:r>
    </w:p>
    <w:p>
      <w:pPr>
        <w:ind w:firstLine="0"/>
        <w:rPr>
          <w:rFonts w:ascii="Times New Roman" w:hAnsi="Times New Roman" w:eastAsia="Times New Roman"/>
          <w:i/>
        </w:rPr>
      </w:pPr>
      <w:r>
        <w:rPr>
          <w:rFonts w:ascii="Times New Roman" w:hAnsi="Times New Roman" w:eastAsia="Times New Roman"/>
          <w:i/>
        </w:rPr>
      </w:r>
      <w:r>
        <w:rPr>
          <w:rFonts w:ascii="Times New Roman" w:hAnsi="Times New Roman" w:eastAsia="Times New Roman"/>
          <w:i/>
        </w:rPr>
      </w:r>
    </w:p>
    <w:p>
      <w:pPr>
        <w:ind w:firstLine="0"/>
        <w:rPr>
          <w:rFonts w:ascii="Times New Roman" w:hAnsi="Times New Roman" w:eastAsia="Times New Roman"/>
          <w:i/>
        </w:rPr>
      </w:pPr>
      <w:r>
        <w:rPr>
          <w:rFonts w:ascii="Times New Roman" w:hAnsi="Times New Roman" w:eastAsia="Times New Roman"/>
          <w:i/>
        </w:rPr>
        <w:t xml:space="preserve">Тарасов К.С.</w:t>
      </w:r>
      <w:r>
        <w:rPr>
          <w:rFonts w:ascii="Times New Roman" w:hAnsi="Times New Roman" w:eastAsia="Times New Roman"/>
          <w:i/>
        </w:rPr>
      </w:r>
    </w:p>
    <w:p>
      <w:pPr>
        <w:ind w:firstLine="0"/>
        <w:rPr>
          <w:rFonts w:ascii="Times New Roman" w:hAnsi="Times New Roman" w:eastAsia="Times New Roman"/>
          <w:i/>
        </w:rPr>
      </w:pPr>
      <w:r>
        <w:rPr>
          <w:rFonts w:ascii="Times New Roman" w:hAnsi="Times New Roman" w:eastAsia="Times New Roman"/>
          <w:i/>
        </w:rPr>
        <w:t xml:space="preserve">+7 915 836 26</w:t>
      </w:r>
      <w:r>
        <w:rPr>
          <w:rFonts w:ascii="Times New Roman" w:hAnsi="Times New Roman" w:eastAsia="Times New Roman"/>
          <w:i/>
        </w:rPr>
        <w:t xml:space="preserve"> </w:t>
      </w:r>
      <w:r>
        <w:rPr>
          <w:rFonts w:ascii="Times New Roman" w:hAnsi="Times New Roman" w:eastAsia="Times New Roman"/>
          <w:i/>
        </w:rPr>
        <w:t xml:space="preserve">31</w:t>
      </w:r>
      <w:r>
        <w:rPr>
          <w:rFonts w:ascii="Times New Roman" w:hAnsi="Times New Roman" w:eastAsia="Times New Roman"/>
          <w:i/>
        </w:rPr>
      </w:r>
    </w:p>
    <w:p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" w:author="Михаил Лаврухин" w:date="2024-09-05T11:50:00Z" w:initials="МЛ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Не требуется для контейнерных установок. </w:t>
      </w:r>
    </w:p>
  </w:comment>
  <w:comment w:id="1" w:author="Михаил Лаврухин" w:date="2024-09-05T11:50:00Z" w:initials="МЛ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Это не нужное требование. Вполне могут нанимать кого-то на субподряд.</w:t>
      </w:r>
    </w:p>
  </w:comment>
  <w:comment w:id="0" w:author="Михаил Лаврухин" w:date="2024-09-04T18:07:00Z" w:initials="МЛ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Нет необходимости ограничивать исполнителя временем. </w:t>
      </w:r>
    </w:p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Пусть предложат свои сроки.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  <w15:commentEx w15:paraId="0000000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307D2368" w16cex:dateUtc="2024-09-05T08:50:00Z"/>
  <w16cex:commentExtensible w16cex:durableId="36828D58" w16cex:dateUtc="2024-09-05T08:50:00Z"/>
  <w16cex:commentExtensible w16cex:durableId="3D012DDA" w16cex:dateUtc="2024-09-04T15:07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307D2368"/>
  <w16cid:commentId w16cid:paraId="00000002" w16cid:durableId="36828D58"/>
  <w16cid:commentId w16cid:paraId="00000004" w16cid:durableId="3D012DDA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ヒラギノ角ゴ Pro W3">
    <w:panose1 w:val="020B0604030504040204"/>
  </w:font>
  <w:font w:name="Calibri">
    <w:panose1 w:val="020F0502020204030204"/>
  </w:font>
  <w:font w:name="Arial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color w:val="ff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64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36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8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80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52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24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96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8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407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0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2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4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6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8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0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2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4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66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eastAsiaTheme="minorEastAsia" w:cstheme="minorBidi"/>
        <w:b w:val="0"/>
        <w:sz w:val="22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92" w:hanging="408"/>
      </w:pPr>
      <w:rPr>
        <w:rFonts w:hint="default"/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36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08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0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2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4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6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68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04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 w:eastAsia="Times New Roman" w:cstheme="minorBidi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eastAsiaTheme="minorEastAsia"/>
        <w:i w:val="0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"/>
  </w:num>
  <w:num w:numId="3">
    <w:abstractNumId w:val="10"/>
  </w:num>
  <w:num w:numId="4">
    <w:abstractNumId w:val="23"/>
  </w:num>
  <w:num w:numId="5">
    <w:abstractNumId w:val="12"/>
  </w:num>
  <w:num w:numId="6">
    <w:abstractNumId w:val="15"/>
  </w:num>
  <w:num w:numId="7">
    <w:abstractNumId w:val="8"/>
  </w:num>
  <w:num w:numId="8">
    <w:abstractNumId w:val="7"/>
  </w:num>
  <w:num w:numId="9">
    <w:abstractNumId w:val="35"/>
  </w:num>
  <w:num w:numId="10">
    <w:abstractNumId w:val="20"/>
  </w:num>
  <w:num w:numId="11">
    <w:abstractNumId w:val="2"/>
  </w:num>
  <w:num w:numId="12">
    <w:abstractNumId w:val="21"/>
  </w:num>
  <w:num w:numId="13">
    <w:abstractNumId w:val="3"/>
  </w:num>
  <w:num w:numId="14">
    <w:abstractNumId w:val="11"/>
  </w:num>
  <w:num w:numId="15">
    <w:abstractNumId w:val="34"/>
  </w:num>
  <w:num w:numId="16">
    <w:abstractNumId w:val="31"/>
  </w:num>
  <w:num w:numId="17">
    <w:abstractNumId w:val="33"/>
  </w:num>
  <w:num w:numId="18">
    <w:abstractNumId w:val="25"/>
  </w:num>
  <w:num w:numId="19">
    <w:abstractNumId w:val="26"/>
  </w:num>
  <w:num w:numId="20">
    <w:abstractNumId w:val="29"/>
  </w:num>
  <w:num w:numId="21">
    <w:abstractNumId w:val="9"/>
  </w:num>
  <w:num w:numId="22">
    <w:abstractNumId w:val="17"/>
  </w:num>
  <w:num w:numId="23">
    <w:abstractNumId w:val="4"/>
  </w:num>
  <w:num w:numId="24">
    <w:abstractNumId w:val="30"/>
  </w:num>
  <w:num w:numId="25">
    <w:abstractNumId w:val="28"/>
  </w:num>
  <w:num w:numId="26">
    <w:abstractNumId w:val="5"/>
  </w:num>
  <w:num w:numId="27">
    <w:abstractNumId w:val="0"/>
  </w:num>
  <w:num w:numId="28">
    <w:abstractNumId w:val="22"/>
  </w:num>
  <w:num w:numId="29">
    <w:abstractNumId w:val="14"/>
  </w:num>
  <w:num w:numId="30">
    <w:abstractNumId w:val="18"/>
  </w:num>
  <w:num w:numId="31">
    <w:abstractNumId w:val="19"/>
  </w:num>
  <w:num w:numId="32">
    <w:abstractNumId w:val="16"/>
  </w:num>
  <w:num w:numId="33">
    <w:abstractNumId w:val="36"/>
  </w:num>
  <w:num w:numId="34">
    <w:abstractNumId w:val="6"/>
  </w:num>
  <w:num w:numId="35">
    <w:abstractNumId w:val="13"/>
  </w:num>
  <w:num w:numId="36">
    <w:abstractNumId w:val="27"/>
  </w:num>
  <w:num w:numId="37">
    <w:abstractNumId w:val="24"/>
  </w:num>
  <w:num w:numId="38">
    <w:abstractNumId w:val="3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Михаил Лаврухин">
    <w15:presenceInfo w15:providerId="Windows Live" w15:userId="241bde8c8ab5f4e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729"/>
    <w:next w:val="72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73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29"/>
    <w:next w:val="72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731"/>
    <w:link w:val="1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31"/>
    <w:link w:val="730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29"/>
    <w:next w:val="72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3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29"/>
    <w:next w:val="72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3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29"/>
    <w:next w:val="72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3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29"/>
    <w:next w:val="72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3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29"/>
    <w:next w:val="72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3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29"/>
    <w:next w:val="72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3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729"/>
    <w:next w:val="72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31"/>
    <w:link w:val="34"/>
    <w:uiPriority w:val="10"/>
    <w:rPr>
      <w:sz w:val="48"/>
      <w:szCs w:val="48"/>
    </w:rPr>
  </w:style>
  <w:style w:type="paragraph" w:styleId="36">
    <w:name w:val="Subtitle"/>
    <w:basedOn w:val="729"/>
    <w:next w:val="72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31"/>
    <w:link w:val="36"/>
    <w:uiPriority w:val="11"/>
    <w:rPr>
      <w:sz w:val="24"/>
      <w:szCs w:val="24"/>
    </w:rPr>
  </w:style>
  <w:style w:type="paragraph" w:styleId="38">
    <w:name w:val="Quote"/>
    <w:basedOn w:val="729"/>
    <w:next w:val="72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29"/>
    <w:next w:val="72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31"/>
    <w:link w:val="745"/>
    <w:uiPriority w:val="99"/>
  </w:style>
  <w:style w:type="character" w:styleId="45">
    <w:name w:val="Footer Char"/>
    <w:basedOn w:val="731"/>
    <w:link w:val="747"/>
    <w:uiPriority w:val="99"/>
  </w:style>
  <w:style w:type="paragraph" w:styleId="46">
    <w:name w:val="Caption"/>
    <w:basedOn w:val="729"/>
    <w:next w:val="72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747"/>
    <w:uiPriority w:val="99"/>
  </w:style>
  <w:style w:type="table" w:styleId="49">
    <w:name w:val="Table Grid Light"/>
    <w:basedOn w:val="7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7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7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7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7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7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7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7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7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7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7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7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7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72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31"/>
    <w:uiPriority w:val="99"/>
    <w:unhideWhenUsed/>
    <w:rPr>
      <w:vertAlign w:val="superscript"/>
    </w:rPr>
  </w:style>
  <w:style w:type="paragraph" w:styleId="178">
    <w:name w:val="endnote text"/>
    <w:basedOn w:val="72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31"/>
    <w:uiPriority w:val="99"/>
    <w:semiHidden/>
    <w:unhideWhenUsed/>
    <w:rPr>
      <w:vertAlign w:val="superscript"/>
    </w:rPr>
  </w:style>
  <w:style w:type="paragraph" w:styleId="181">
    <w:name w:val="toc 1"/>
    <w:basedOn w:val="729"/>
    <w:next w:val="72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29"/>
    <w:next w:val="72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29"/>
    <w:next w:val="72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29"/>
    <w:next w:val="72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29"/>
    <w:next w:val="72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29"/>
    <w:next w:val="72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29"/>
    <w:next w:val="72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29"/>
    <w:next w:val="72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29"/>
    <w:next w:val="72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29"/>
    <w:next w:val="729"/>
    <w:uiPriority w:val="99"/>
    <w:unhideWhenUsed/>
    <w:pPr>
      <w:spacing w:after="0" w:afterAutospacing="0"/>
    </w:pPr>
  </w:style>
  <w:style w:type="paragraph" w:styleId="729" w:default="1">
    <w:name w:val="Normal"/>
    <w:qFormat/>
    <w:pPr>
      <w:ind w:firstLine="567"/>
      <w:jc w:val="both"/>
      <w:spacing w:after="0" w:line="240" w:lineRule="auto"/>
    </w:pPr>
    <w:rPr>
      <w:rFonts w:eastAsiaTheme="minorEastAsia"/>
      <w:lang w:eastAsia="ru-RU"/>
    </w:rPr>
  </w:style>
  <w:style w:type="paragraph" w:styleId="730">
    <w:name w:val="Heading 3"/>
    <w:basedOn w:val="729"/>
    <w:next w:val="729"/>
    <w:link w:val="762"/>
    <w:uiPriority w:val="9"/>
    <w:semiHidden/>
    <w:unhideWhenUsed/>
    <w:qFormat/>
    <w:pPr>
      <w:keepLines/>
      <w:keepNext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731" w:default="1">
    <w:name w:val="Default Paragraph Font"/>
    <w:uiPriority w:val="1"/>
    <w:semiHidden/>
    <w:unhideWhenUsed/>
  </w:style>
  <w:style w:type="table" w:styleId="7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33" w:default="1">
    <w:name w:val="No List"/>
    <w:uiPriority w:val="99"/>
    <w:semiHidden/>
    <w:unhideWhenUsed/>
  </w:style>
  <w:style w:type="paragraph" w:styleId="734">
    <w:name w:val="List Paragraph"/>
    <w:basedOn w:val="729"/>
    <w:link w:val="735"/>
    <w:uiPriority w:val="34"/>
    <w:qFormat/>
    <w:pPr>
      <w:contextualSpacing/>
      <w:ind w:left="720"/>
    </w:pPr>
    <w:rPr>
      <w:rFonts w:ascii="Calibri" w:hAnsi="Calibri" w:eastAsia="Calibri" w:cs="Times New Roman"/>
    </w:rPr>
  </w:style>
  <w:style w:type="character" w:styleId="735" w:customStyle="1">
    <w:name w:val="Абзац списка Знак"/>
    <w:basedOn w:val="731"/>
    <w:link w:val="734"/>
    <w:uiPriority w:val="34"/>
    <w:qFormat/>
    <w:rPr>
      <w:rFonts w:ascii="Calibri" w:hAnsi="Calibri" w:eastAsia="Calibri" w:cs="Times New Roman"/>
      <w:lang w:eastAsia="ru-RU"/>
    </w:rPr>
  </w:style>
  <w:style w:type="table" w:styleId="736">
    <w:name w:val="Table Grid"/>
    <w:basedOn w:val="73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37">
    <w:name w:val="No Spacing"/>
    <w:uiPriority w:val="1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738" w:customStyle="1">
    <w:name w:val="2"/>
    <w:basedOn w:val="732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  <w:tblPr>
      <w:tblStyleRowBandSize w:val="1"/>
      <w:tblStyleColBandSize w:val="1"/>
    </w:tblPr>
  </w:style>
  <w:style w:type="paragraph" w:styleId="739" w:customStyle="1">
    <w:name w:val="Style5"/>
    <w:basedOn w:val="729"/>
    <w:pPr>
      <w:ind w:firstLine="0"/>
      <w:spacing w:line="288" w:lineRule="exact"/>
      <w:widowControl w:val="off"/>
    </w:pPr>
    <w:rPr>
      <w:rFonts w:ascii="Times New Roman" w:hAnsi="Times New Roman" w:eastAsia="Times New Roman" w:cs="Times New Roman"/>
      <w:sz w:val="24"/>
      <w:szCs w:val="24"/>
    </w:rPr>
  </w:style>
  <w:style w:type="character" w:styleId="740" w:customStyle="1">
    <w:name w:val="Font Style34"/>
    <w:rPr>
      <w:rFonts w:ascii="Times New Roman" w:hAnsi="Times New Roman" w:cs="Times New Roman"/>
      <w:sz w:val="22"/>
      <w:szCs w:val="22"/>
    </w:rPr>
  </w:style>
  <w:style w:type="paragraph" w:styleId="741" w:customStyle="1">
    <w:name w:val="docdata"/>
    <w:basedOn w:val="729"/>
    <w:pPr>
      <w:ind w:firstLine="0"/>
      <w:jc w:val="left"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742">
    <w:name w:val="Normal (Web)"/>
    <w:basedOn w:val="729"/>
    <w:uiPriority w:val="99"/>
    <w:unhideWhenUsed/>
    <w:pPr>
      <w:ind w:firstLine="0"/>
      <w:jc w:val="left"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743" w:customStyle="1">
    <w:name w:val="1080"/>
    <w:basedOn w:val="731"/>
  </w:style>
  <w:style w:type="character" w:styleId="744" w:customStyle="1">
    <w:name w:val="976"/>
    <w:basedOn w:val="731"/>
  </w:style>
  <w:style w:type="paragraph" w:styleId="745">
    <w:name w:val="Header"/>
    <w:basedOn w:val="729"/>
    <w:link w:val="746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46" w:customStyle="1">
    <w:name w:val="Верхний колонтитул Знак"/>
    <w:basedOn w:val="731"/>
    <w:link w:val="745"/>
    <w:uiPriority w:val="99"/>
    <w:rPr>
      <w:rFonts w:eastAsiaTheme="minorEastAsia"/>
      <w:lang w:eastAsia="ru-RU"/>
    </w:rPr>
  </w:style>
  <w:style w:type="paragraph" w:styleId="747">
    <w:name w:val="Footer"/>
    <w:basedOn w:val="729"/>
    <w:link w:val="74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48" w:customStyle="1">
    <w:name w:val="Нижний колонтитул Знак"/>
    <w:basedOn w:val="731"/>
    <w:link w:val="747"/>
    <w:uiPriority w:val="99"/>
    <w:rPr>
      <w:rFonts w:eastAsiaTheme="minorEastAsia"/>
      <w:lang w:eastAsia="ru-RU"/>
    </w:rPr>
  </w:style>
  <w:style w:type="character" w:styleId="749" w:customStyle="1">
    <w:name w:val="Другое_"/>
    <w:basedOn w:val="731"/>
    <w:link w:val="750"/>
    <w:rPr>
      <w:rFonts w:ascii="Times New Roman" w:hAnsi="Times New Roman" w:eastAsia="Times New Roman" w:cs="Times New Roman"/>
      <w:sz w:val="20"/>
      <w:szCs w:val="20"/>
    </w:rPr>
  </w:style>
  <w:style w:type="paragraph" w:styleId="750" w:customStyle="1">
    <w:name w:val="Другое"/>
    <w:basedOn w:val="729"/>
    <w:link w:val="749"/>
    <w:pPr>
      <w:ind w:firstLine="0"/>
      <w:jc w:val="left"/>
      <w:widowControl w:val="off"/>
    </w:pPr>
    <w:rPr>
      <w:rFonts w:ascii="Times New Roman" w:hAnsi="Times New Roman" w:eastAsia="Times New Roman" w:cs="Times New Roman"/>
      <w:sz w:val="20"/>
      <w:szCs w:val="20"/>
      <w:lang w:eastAsia="en-US"/>
    </w:rPr>
  </w:style>
  <w:style w:type="character" w:styleId="751" w:customStyle="1">
    <w:name w:val="Основной текст (4)_"/>
    <w:basedOn w:val="731"/>
    <w:link w:val="752"/>
    <w:rPr>
      <w:rFonts w:ascii="Times New Roman" w:hAnsi="Times New Roman" w:eastAsia="Times New Roman" w:cs="Times New Roman"/>
      <w:color w:val="111111"/>
      <w:sz w:val="18"/>
      <w:szCs w:val="18"/>
    </w:rPr>
  </w:style>
  <w:style w:type="paragraph" w:styleId="752" w:customStyle="1">
    <w:name w:val="Основной текст (4)"/>
    <w:basedOn w:val="729"/>
    <w:link w:val="751"/>
    <w:pPr>
      <w:ind w:left="6820" w:right="520" w:firstLine="0"/>
      <w:jc w:val="right"/>
      <w:spacing w:after="2140" w:line="233" w:lineRule="auto"/>
      <w:widowControl w:val="off"/>
    </w:pPr>
    <w:rPr>
      <w:rFonts w:ascii="Times New Roman" w:hAnsi="Times New Roman" w:eastAsia="Times New Roman" w:cs="Times New Roman"/>
      <w:color w:val="111111"/>
      <w:sz w:val="18"/>
      <w:szCs w:val="18"/>
      <w:lang w:eastAsia="en-US"/>
    </w:rPr>
  </w:style>
  <w:style w:type="character" w:styleId="753">
    <w:name w:val="annotation reference"/>
    <w:basedOn w:val="731"/>
    <w:uiPriority w:val="99"/>
    <w:semiHidden/>
    <w:unhideWhenUsed/>
    <w:rPr>
      <w:sz w:val="16"/>
      <w:szCs w:val="16"/>
    </w:rPr>
  </w:style>
  <w:style w:type="paragraph" w:styleId="754">
    <w:name w:val="annotation text"/>
    <w:basedOn w:val="729"/>
    <w:link w:val="755"/>
    <w:uiPriority w:val="99"/>
    <w:unhideWhenUsed/>
    <w:rPr>
      <w:sz w:val="20"/>
      <w:szCs w:val="20"/>
    </w:rPr>
  </w:style>
  <w:style w:type="character" w:styleId="755" w:customStyle="1">
    <w:name w:val="Текст примечания Знак"/>
    <w:basedOn w:val="731"/>
    <w:link w:val="754"/>
    <w:uiPriority w:val="99"/>
    <w:rPr>
      <w:rFonts w:eastAsiaTheme="minorEastAsia"/>
      <w:sz w:val="20"/>
      <w:szCs w:val="20"/>
      <w:lang w:eastAsia="ru-RU"/>
    </w:rPr>
  </w:style>
  <w:style w:type="paragraph" w:styleId="756">
    <w:name w:val="annotation subject"/>
    <w:basedOn w:val="754"/>
    <w:next w:val="754"/>
    <w:link w:val="757"/>
    <w:uiPriority w:val="99"/>
    <w:semiHidden/>
    <w:unhideWhenUsed/>
    <w:rPr>
      <w:b/>
      <w:bCs/>
    </w:rPr>
  </w:style>
  <w:style w:type="character" w:styleId="757" w:customStyle="1">
    <w:name w:val="Тема примечания Знак"/>
    <w:basedOn w:val="755"/>
    <w:link w:val="756"/>
    <w:uiPriority w:val="99"/>
    <w:semiHidden/>
    <w:rPr>
      <w:rFonts w:eastAsiaTheme="minorEastAsia"/>
      <w:b/>
      <w:bCs/>
      <w:sz w:val="20"/>
      <w:szCs w:val="20"/>
      <w:lang w:eastAsia="ru-RU"/>
    </w:rPr>
  </w:style>
  <w:style w:type="paragraph" w:styleId="758">
    <w:name w:val="Revision"/>
    <w:hidden/>
    <w:uiPriority w:val="99"/>
    <w:semiHidden/>
    <w:pPr>
      <w:spacing w:after="0" w:line="240" w:lineRule="auto"/>
    </w:pPr>
    <w:rPr>
      <w:rFonts w:eastAsiaTheme="minorEastAsia"/>
      <w:lang w:eastAsia="ru-RU"/>
    </w:rPr>
  </w:style>
  <w:style w:type="character" w:styleId="759">
    <w:name w:val="Hyperlink"/>
    <w:basedOn w:val="731"/>
    <w:uiPriority w:val="99"/>
    <w:unhideWhenUsed/>
    <w:rPr>
      <w:color w:val="0563c1" w:themeColor="hyperlink"/>
      <w:u w:val="single"/>
    </w:rPr>
  </w:style>
  <w:style w:type="character" w:styleId="760">
    <w:name w:val="Unresolved Mention"/>
    <w:basedOn w:val="731"/>
    <w:uiPriority w:val="99"/>
    <w:semiHidden/>
    <w:unhideWhenUsed/>
    <w:rPr>
      <w:color w:val="605e5c"/>
      <w:shd w:val="clear" w:color="auto" w:fill="e1dfdd"/>
    </w:rPr>
  </w:style>
  <w:style w:type="paragraph" w:styleId="761" w:customStyle="1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762" w:customStyle="1">
    <w:name w:val="Заголовок 3 Знак"/>
    <w:basedOn w:val="731"/>
    <w:link w:val="730"/>
    <w:uiPriority w:val="9"/>
    <w:semiHidden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ru-RU"/>
    </w:rPr>
  </w:style>
  <w:style w:type="paragraph" w:styleId="763" w:customStyle="1">
    <w:name w:val="Без интервала1"/>
    <w:qFormat/>
    <w:pPr>
      <w:spacing w:after="0" w:line="240" w:lineRule="auto"/>
    </w:pPr>
    <w:rPr>
      <w:rFonts w:ascii="Calibri" w:hAnsi="Calibri" w:eastAsia="Calibri" w:cs="Times New Roma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omments" Target="comments.xml" /><Relationship Id="rId11" Type="http://schemas.microsoft.com/office/2011/relationships/commentsExtended" Target="commentsExtended.xml" /><Relationship Id="rId12" Type="http://schemas.microsoft.com/office/2018/08/relationships/commentsExtensible" Target="commentsExtensible.xml" /><Relationship Id="rId13" Type="http://schemas.microsoft.com/office/2016/09/relationships/commentsIds" Target="commentsIds.xml" /><Relationship Id="rId14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754EC-7990-4923-B35B-A8C9FFD68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</dc:creator>
  <cp:keywords/>
  <dc:description/>
  <cp:lastModifiedBy>Маркин Олег</cp:lastModifiedBy>
  <cp:revision>4</cp:revision>
  <dcterms:created xsi:type="dcterms:W3CDTF">2024-09-10T13:52:00Z</dcterms:created>
  <dcterms:modified xsi:type="dcterms:W3CDTF">2024-09-23T08:55:33Z</dcterms:modified>
</cp:coreProperties>
</file>