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E26" w:rsidRPr="005F3D0A" w:rsidRDefault="007F0E26" w:rsidP="001E32F0">
      <w:pPr>
        <w:jc w:val="center"/>
        <w:rPr>
          <w:rFonts w:ascii="Arial Narrow" w:hAnsi="Arial Narrow"/>
          <w:b/>
          <w:sz w:val="28"/>
          <w:szCs w:val="28"/>
        </w:rPr>
      </w:pPr>
      <w:bookmarkStart w:id="0" w:name="_GoBack"/>
      <w:bookmarkEnd w:id="0"/>
      <w:r w:rsidRPr="005F3D0A">
        <w:rPr>
          <w:rFonts w:ascii="Arial Narrow" w:hAnsi="Arial Narrow"/>
          <w:b/>
          <w:sz w:val="28"/>
          <w:szCs w:val="28"/>
        </w:rPr>
        <w:t>Модуль очистки биогаза.</w:t>
      </w:r>
    </w:p>
    <w:p w:rsidR="007F0E26" w:rsidRPr="005F3D0A" w:rsidRDefault="007F0E26" w:rsidP="007868BE">
      <w:pPr>
        <w:jc w:val="both"/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Получаемый в биореакторе газ не удобен для дальнейшего практического использования. Главными проблемами при использовании биогаза «сырца» являются: забивки газовой магистрали механическими примесями и конденсированной водой (в зимнее время года льдом), затухание пламени в газов</w:t>
      </w:r>
      <w:r>
        <w:rPr>
          <w:rFonts w:ascii="Arial Narrow" w:hAnsi="Arial Narrow"/>
          <w:sz w:val="24"/>
          <w:szCs w:val="24"/>
        </w:rPr>
        <w:t>ых</w:t>
      </w:r>
      <w:r w:rsidRPr="005F3D0A">
        <w:rPr>
          <w:rFonts w:ascii="Arial Narrow" w:hAnsi="Arial Narrow"/>
          <w:sz w:val="24"/>
          <w:szCs w:val="24"/>
        </w:rPr>
        <w:t xml:space="preserve"> котл</w:t>
      </w:r>
      <w:r>
        <w:rPr>
          <w:rFonts w:ascii="Arial Narrow" w:hAnsi="Arial Narrow"/>
          <w:sz w:val="24"/>
          <w:szCs w:val="24"/>
        </w:rPr>
        <w:t>ах</w:t>
      </w:r>
      <w:r w:rsidRPr="005F3D0A">
        <w:rPr>
          <w:rFonts w:ascii="Arial Narrow" w:hAnsi="Arial Narrow"/>
          <w:sz w:val="24"/>
          <w:szCs w:val="24"/>
        </w:rPr>
        <w:t>, коррозия оборудования</w:t>
      </w:r>
      <w:r>
        <w:rPr>
          <w:rFonts w:ascii="Arial Narrow" w:hAnsi="Arial Narrow"/>
          <w:sz w:val="24"/>
          <w:szCs w:val="24"/>
        </w:rPr>
        <w:t>, в тч. поршней ГПУ и тд</w:t>
      </w:r>
      <w:r w:rsidRPr="005F3D0A">
        <w:rPr>
          <w:rFonts w:ascii="Arial Narrow" w:hAnsi="Arial Narrow"/>
          <w:sz w:val="24"/>
          <w:szCs w:val="24"/>
        </w:rPr>
        <w:t>.</w:t>
      </w:r>
    </w:p>
    <w:p w:rsidR="007F0E26" w:rsidRPr="005F3D0A" w:rsidRDefault="007F0E26" w:rsidP="007868BE">
      <w:pPr>
        <w:jc w:val="both"/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Задачи модуля очистки - улучшение характеристик биогаза для его дальнейшего использования, то есть:</w:t>
      </w:r>
    </w:p>
    <w:p w:rsidR="007F0E26" w:rsidRPr="005F3D0A" w:rsidRDefault="007F0E26" w:rsidP="007868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Улучшить стабильность горения биогаза.</w:t>
      </w:r>
    </w:p>
    <w:p w:rsidR="007F0E26" w:rsidRPr="005F3D0A" w:rsidRDefault="007F0E26" w:rsidP="007868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Уменьшить температуру воспламенения.</w:t>
      </w:r>
    </w:p>
    <w:p w:rsidR="007F0E26" w:rsidRPr="005F3D0A" w:rsidRDefault="007F0E26" w:rsidP="007868BE">
      <w:pPr>
        <w:pStyle w:val="ListParagraph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Исключить вероятность возникновения аварийных ситуаций, связанных с забивкой газовых магистралей и затуханий газа в котле.</w:t>
      </w:r>
    </w:p>
    <w:p w:rsidR="007F0E26" w:rsidRPr="005F3D0A" w:rsidRDefault="007F0E26">
      <w:pPr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b/>
          <w:sz w:val="24"/>
          <w:szCs w:val="24"/>
        </w:rPr>
        <w:t>Табл. 1</w:t>
      </w:r>
      <w:r w:rsidRPr="005F3D0A">
        <w:rPr>
          <w:rFonts w:ascii="Arial Narrow" w:hAnsi="Arial Narrow"/>
          <w:sz w:val="24"/>
          <w:szCs w:val="24"/>
        </w:rPr>
        <w:t>. Сводная таблица химических составов биогаза до и после модуля очистки.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14"/>
        <w:gridCol w:w="1914"/>
        <w:gridCol w:w="1914"/>
        <w:gridCol w:w="1879"/>
        <w:gridCol w:w="1950"/>
      </w:tblGrid>
      <w:tr w:rsidR="007F0E26" w:rsidRPr="005F3D0A" w:rsidTr="00C72A31"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Биогаз «сырец», % масс.</w:t>
            </w:r>
          </w:p>
        </w:tc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Возможные колебания состава, % масс.</w:t>
            </w:r>
          </w:p>
        </w:tc>
        <w:tc>
          <w:tcPr>
            <w:tcW w:w="1879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Биогаз очищенный, % масс.</w:t>
            </w:r>
          </w:p>
        </w:tc>
        <w:tc>
          <w:tcPr>
            <w:tcW w:w="1950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Возможные колебания состава, % масс.</w:t>
            </w:r>
          </w:p>
        </w:tc>
      </w:tr>
      <w:tr w:rsidR="007F0E26" w:rsidRPr="005F3D0A" w:rsidTr="00C72A31">
        <w:trPr>
          <w:trHeight w:val="483"/>
        </w:trPr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Метан (СН4)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60%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+/-5%</w:t>
            </w:r>
          </w:p>
        </w:tc>
        <w:tc>
          <w:tcPr>
            <w:tcW w:w="1879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64%</w:t>
            </w:r>
          </w:p>
        </w:tc>
        <w:tc>
          <w:tcPr>
            <w:tcW w:w="1950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+/-5%</w:t>
            </w:r>
          </w:p>
        </w:tc>
      </w:tr>
      <w:tr w:rsidR="007F0E26" w:rsidRPr="005F3D0A" w:rsidTr="00C72A31"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Углекислый газ (СО2)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33 %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+/-5%</w:t>
            </w:r>
          </w:p>
        </w:tc>
        <w:tc>
          <w:tcPr>
            <w:tcW w:w="1879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35 %</w:t>
            </w:r>
          </w:p>
        </w:tc>
        <w:tc>
          <w:tcPr>
            <w:tcW w:w="1950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+/-5%</w:t>
            </w:r>
          </w:p>
        </w:tc>
      </w:tr>
      <w:tr w:rsidR="007F0E26" w:rsidRPr="005F3D0A" w:rsidTr="00C72A31"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Сероводород (Н2</w:t>
            </w:r>
            <w:r w:rsidRPr="005F3D0A">
              <w:rPr>
                <w:rFonts w:ascii="Arial Narrow" w:hAnsi="Arial Narrow"/>
                <w:sz w:val="24"/>
                <w:szCs w:val="24"/>
                <w:lang w:val="en-US"/>
              </w:rPr>
              <w:t>S)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2%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+/- 1%</w:t>
            </w:r>
          </w:p>
        </w:tc>
        <w:tc>
          <w:tcPr>
            <w:tcW w:w="1879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Не более 0,02 %</w:t>
            </w:r>
          </w:p>
        </w:tc>
        <w:tc>
          <w:tcPr>
            <w:tcW w:w="1950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F0E26" w:rsidRPr="005F3D0A" w:rsidTr="00C72A31"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Водород (Н2)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1%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+/- 0,5%</w:t>
            </w:r>
          </w:p>
        </w:tc>
        <w:tc>
          <w:tcPr>
            <w:tcW w:w="1879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1%</w:t>
            </w:r>
          </w:p>
        </w:tc>
        <w:tc>
          <w:tcPr>
            <w:tcW w:w="1950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+/- 0,5%</w:t>
            </w:r>
          </w:p>
        </w:tc>
      </w:tr>
      <w:tr w:rsidR="007F0E26" w:rsidRPr="005F3D0A" w:rsidTr="00C72A31"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Механические примеси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1%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+/- 1%</w:t>
            </w:r>
          </w:p>
        </w:tc>
        <w:tc>
          <w:tcPr>
            <w:tcW w:w="1879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следы</w:t>
            </w:r>
          </w:p>
        </w:tc>
        <w:tc>
          <w:tcPr>
            <w:tcW w:w="1950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F0E26" w:rsidRPr="005F3D0A" w:rsidTr="00C72A31"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Пары воды (Н2О)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3 %</w:t>
            </w:r>
          </w:p>
        </w:tc>
        <w:tc>
          <w:tcPr>
            <w:tcW w:w="1914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+/- 1%</w:t>
            </w:r>
          </w:p>
        </w:tc>
        <w:tc>
          <w:tcPr>
            <w:tcW w:w="1879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F3D0A">
              <w:rPr>
                <w:rFonts w:ascii="Arial Narrow" w:hAnsi="Arial Narrow"/>
                <w:sz w:val="24"/>
                <w:szCs w:val="24"/>
              </w:rPr>
              <w:t>следы</w:t>
            </w:r>
          </w:p>
        </w:tc>
        <w:tc>
          <w:tcPr>
            <w:tcW w:w="1950" w:type="dxa"/>
            <w:vAlign w:val="center"/>
          </w:tcPr>
          <w:p w:rsidR="007F0E26" w:rsidRPr="005F3D0A" w:rsidRDefault="007F0E26" w:rsidP="00C72A3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F0E26" w:rsidRPr="005F3D0A" w:rsidTr="00C72A31"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14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79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0" w:type="dxa"/>
          </w:tcPr>
          <w:p w:rsidR="007F0E26" w:rsidRPr="005F3D0A" w:rsidRDefault="007F0E26" w:rsidP="00C72A3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F0E26" w:rsidRPr="005F3D0A" w:rsidRDefault="007F0E26">
      <w:pPr>
        <w:rPr>
          <w:rFonts w:ascii="Arial Narrow" w:hAnsi="Arial Narrow"/>
          <w:sz w:val="24"/>
          <w:szCs w:val="24"/>
        </w:rPr>
      </w:pPr>
    </w:p>
    <w:p w:rsidR="007F0E26" w:rsidRPr="005F3D0A" w:rsidRDefault="007F0E26" w:rsidP="008E4ED6">
      <w:pPr>
        <w:jc w:val="both"/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 xml:space="preserve">Как видно из </w:t>
      </w:r>
      <w:r w:rsidRPr="005F3D0A">
        <w:rPr>
          <w:rFonts w:ascii="Arial Narrow" w:hAnsi="Arial Narrow"/>
          <w:b/>
          <w:sz w:val="24"/>
          <w:szCs w:val="24"/>
        </w:rPr>
        <w:t>Табл. 1</w:t>
      </w:r>
      <w:r w:rsidRPr="005F3D0A">
        <w:rPr>
          <w:rFonts w:ascii="Arial Narrow" w:hAnsi="Arial Narrow"/>
          <w:sz w:val="24"/>
          <w:szCs w:val="24"/>
        </w:rPr>
        <w:t>, содержание метана в биогазе изменяется в небольшом диапазоне, соответственно теплота сгорания в результате предложенного способа очистки увеличивается не значительно. На практике очистка газа приводит к значительному выигрышу в теплоотдаче, так как сильно повышает КПД газов</w:t>
      </w:r>
      <w:r>
        <w:rPr>
          <w:rFonts w:ascii="Arial Narrow" w:hAnsi="Arial Narrow"/>
          <w:sz w:val="24"/>
          <w:szCs w:val="24"/>
        </w:rPr>
        <w:t>ых</w:t>
      </w:r>
      <w:r w:rsidRPr="005F3D0A">
        <w:rPr>
          <w:rFonts w:ascii="Arial Narrow" w:hAnsi="Arial Narrow"/>
          <w:sz w:val="24"/>
          <w:szCs w:val="24"/>
        </w:rPr>
        <w:t xml:space="preserve"> котл</w:t>
      </w:r>
      <w:r>
        <w:rPr>
          <w:rFonts w:ascii="Arial Narrow" w:hAnsi="Arial Narrow"/>
          <w:sz w:val="24"/>
          <w:szCs w:val="24"/>
        </w:rPr>
        <w:t>ов</w:t>
      </w:r>
      <w:r w:rsidRPr="005F3D0A">
        <w:rPr>
          <w:rFonts w:ascii="Arial Narrow" w:hAnsi="Arial Narrow"/>
          <w:sz w:val="24"/>
          <w:szCs w:val="24"/>
        </w:rPr>
        <w:t>. Ликвидация затуханий и стабильное горение приводит к полному сгоранию газа и повышению КПД котл</w:t>
      </w:r>
      <w:r>
        <w:rPr>
          <w:rFonts w:ascii="Arial Narrow" w:hAnsi="Arial Narrow"/>
          <w:sz w:val="24"/>
          <w:szCs w:val="24"/>
        </w:rPr>
        <w:t>ов</w:t>
      </w:r>
      <w:r w:rsidRPr="005F3D0A">
        <w:rPr>
          <w:rFonts w:ascii="Arial Narrow" w:hAnsi="Arial Narrow"/>
          <w:sz w:val="24"/>
          <w:szCs w:val="24"/>
        </w:rPr>
        <w:t xml:space="preserve"> до 95%.</w:t>
      </w:r>
      <w:r>
        <w:rPr>
          <w:rFonts w:ascii="Arial Narrow" w:hAnsi="Arial Narrow"/>
          <w:sz w:val="24"/>
          <w:szCs w:val="24"/>
        </w:rPr>
        <w:t xml:space="preserve"> Также без подобной сероочистки совершенно невозможна эксплуатация газопоршневых установок(ГПУ).</w:t>
      </w:r>
    </w:p>
    <w:p w:rsidR="007F0E26" w:rsidRPr="005F3D0A" w:rsidRDefault="007F0E26" w:rsidP="008E4ED6">
      <w:pPr>
        <w:jc w:val="both"/>
        <w:rPr>
          <w:rFonts w:ascii="Arial Narrow" w:hAnsi="Arial Narrow"/>
          <w:b/>
          <w:sz w:val="24"/>
          <w:szCs w:val="24"/>
        </w:rPr>
      </w:pPr>
      <w:r w:rsidRPr="005F3D0A">
        <w:rPr>
          <w:rFonts w:ascii="Arial Narrow" w:hAnsi="Arial Narrow"/>
          <w:b/>
          <w:sz w:val="24"/>
          <w:szCs w:val="24"/>
        </w:rPr>
        <w:t>Выгоды использования модуля очистки:</w:t>
      </w:r>
    </w:p>
    <w:p w:rsidR="007F0E26" w:rsidRPr="005F3D0A" w:rsidRDefault="007F0E26" w:rsidP="008E4ED6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Уменьшение температуры воспламенения, что упрощает запуск газового котла.</w:t>
      </w:r>
    </w:p>
    <w:p w:rsidR="007F0E26" w:rsidRPr="005F3D0A" w:rsidRDefault="007F0E26" w:rsidP="008E4ED6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Увеличение КПД газового котла благодаря повышению стабильности горения и отсутствия затуханий в котле.</w:t>
      </w:r>
    </w:p>
    <w:p w:rsidR="007F0E26" w:rsidRPr="005F3D0A" w:rsidRDefault="007F0E26" w:rsidP="008E4ED6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Позволяет избежать забивок в системе и возникновение аварийной ситуации.</w:t>
      </w:r>
    </w:p>
    <w:p w:rsidR="007F0E26" w:rsidRPr="005F3D0A" w:rsidRDefault="007F0E26" w:rsidP="008E4ED6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>Уменьшение коррозии и как следствие многократное увеличение срока слу</w:t>
      </w:r>
      <w:r>
        <w:rPr>
          <w:rFonts w:ascii="Arial Narrow" w:hAnsi="Arial Narrow"/>
          <w:sz w:val="24"/>
          <w:szCs w:val="24"/>
        </w:rPr>
        <w:t>жбы магистрального оборудования, ГПУ</w:t>
      </w:r>
    </w:p>
    <w:p w:rsidR="007F0E26" w:rsidRPr="005F3D0A" w:rsidRDefault="007F0E26" w:rsidP="008E4ED6">
      <w:pPr>
        <w:jc w:val="both"/>
        <w:rPr>
          <w:rFonts w:ascii="Arial Narrow" w:hAnsi="Arial Narrow"/>
          <w:sz w:val="24"/>
          <w:szCs w:val="24"/>
        </w:rPr>
      </w:pPr>
    </w:p>
    <w:p w:rsidR="007F0E26" w:rsidRPr="005F3D0A" w:rsidRDefault="007F0E26" w:rsidP="008E4ED6">
      <w:pPr>
        <w:jc w:val="both"/>
        <w:rPr>
          <w:rFonts w:ascii="Arial Narrow" w:hAnsi="Arial Narrow"/>
          <w:sz w:val="24"/>
          <w:szCs w:val="24"/>
        </w:rPr>
      </w:pPr>
      <w:r w:rsidRPr="005F3D0A">
        <w:rPr>
          <w:rFonts w:ascii="Arial Narrow" w:hAnsi="Arial Narrow"/>
          <w:sz w:val="24"/>
          <w:szCs w:val="24"/>
        </w:rPr>
        <w:t xml:space="preserve">Также следует отметить, что, не смотря на значительное уменьшение концентрации сероводорода (до 0,02%), биогаз сохраняет специфический запах, так как предел обнаружения сероводорода человеком ещё ниже (около 0,2 </w:t>
      </w:r>
      <w:r w:rsidRPr="005F3D0A">
        <w:rPr>
          <w:rFonts w:ascii="Arial Narrow" w:hAnsi="Arial Narrow"/>
          <w:sz w:val="24"/>
          <w:szCs w:val="24"/>
          <w:lang w:val="en-US"/>
        </w:rPr>
        <w:t>ppm</w:t>
      </w:r>
      <w:r w:rsidRPr="005F3D0A">
        <w:rPr>
          <w:rFonts w:ascii="Arial Narrow" w:hAnsi="Arial Narrow"/>
          <w:sz w:val="24"/>
          <w:szCs w:val="24"/>
        </w:rPr>
        <w:t>), поэтому при возникновении утечки биогаза из магистрали, она будет легко обнаружена до образования взрывоопасной смеси с воздухом.</w:t>
      </w:r>
    </w:p>
    <w:p w:rsidR="007F0E26" w:rsidRPr="005F3D0A" w:rsidRDefault="007F0E26">
      <w:pPr>
        <w:rPr>
          <w:rFonts w:ascii="Arial Narrow" w:hAnsi="Arial Narrow"/>
          <w:sz w:val="24"/>
          <w:szCs w:val="24"/>
        </w:rPr>
      </w:pPr>
    </w:p>
    <w:p w:rsidR="007F0E26" w:rsidRPr="005F3D0A" w:rsidRDefault="007F0E26">
      <w:pPr>
        <w:rPr>
          <w:rFonts w:ascii="Arial Narrow" w:hAnsi="Arial Narrow"/>
        </w:rPr>
      </w:pPr>
    </w:p>
    <w:sectPr w:rsidR="007F0E26" w:rsidRPr="005F3D0A" w:rsidSect="00685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610D6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A4D6170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7DA47E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0B2027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B908DE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7CA4F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0C49D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CBEA02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EEC22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B93A89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FD1169E"/>
    <w:multiLevelType w:val="hybridMultilevel"/>
    <w:tmpl w:val="10F27912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709D06FE"/>
    <w:multiLevelType w:val="hybridMultilevel"/>
    <w:tmpl w:val="5640663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77082"/>
    <w:rsid w:val="0005793B"/>
    <w:rsid w:val="00172228"/>
    <w:rsid w:val="001E32F0"/>
    <w:rsid w:val="00394D76"/>
    <w:rsid w:val="005F3D0A"/>
    <w:rsid w:val="00685D53"/>
    <w:rsid w:val="0077144A"/>
    <w:rsid w:val="007868BE"/>
    <w:rsid w:val="007E7D4B"/>
    <w:rsid w:val="007F0E26"/>
    <w:rsid w:val="008151A6"/>
    <w:rsid w:val="00821C56"/>
    <w:rsid w:val="0083359A"/>
    <w:rsid w:val="008E4ED6"/>
    <w:rsid w:val="0093273E"/>
    <w:rsid w:val="0093437A"/>
    <w:rsid w:val="00996B68"/>
    <w:rsid w:val="00A84CBB"/>
    <w:rsid w:val="00B77082"/>
    <w:rsid w:val="00C11AA8"/>
    <w:rsid w:val="00C3577A"/>
    <w:rsid w:val="00C72A31"/>
    <w:rsid w:val="00F22624"/>
    <w:rsid w:val="00F23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5D53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84CBB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7E7D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2</Pages>
  <Words>322</Words>
  <Characters>2038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очистки биогаза</dc:title>
  <dc:subject/>
  <dc:creator/>
  <cp:keywords/>
  <dc:description/>
  <cp:lastModifiedBy>Alex</cp:lastModifiedBy>
  <cp:revision>4</cp:revision>
  <dcterms:created xsi:type="dcterms:W3CDTF">2014-10-17T06:47:00Z</dcterms:created>
  <dcterms:modified xsi:type="dcterms:W3CDTF">2014-10-17T06:52:00Z</dcterms:modified>
</cp:coreProperties>
</file>