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7C5F38"/>
          <w:sz w:val="17"/>
          <w:szCs w:val="17"/>
          <w:rFonts w:ascii="Calibri" w:cs="Calibri" w:eastAsia="Calibri" w:hAnsi="Calibri"/>
          <w:spacing w:val="30"/>
        </w:rPr>
        <w:t xml:space="preserve">INTEGRATION STATUS REPORT</w:t>
      </w:r>
    </w:p>
    <w:p>
      <w:pPr>
        <w:spacing w:after="120"/>
      </w:pPr>
      <w:r>
        <w:rPr>
          <w:b/>
          <w:bCs/>
          <w:color w:val="1C1A16"/>
          <w:sz w:val="40"/>
          <w:szCs w:val="40"/>
          <w:rFonts w:ascii="Georgia" w:cs="Georgia" w:eastAsia="Georgia" w:hAnsi="Georgia"/>
        </w:rPr>
        <w:t xml:space="preserve">Build One is live on Xero</w:t>
      </w:r>
    </w:p>
    <w:p>
      <w:pPr>
        <w:spacing w:after="140"/>
      </w:pPr>
      <w:r>
        <w:rPr>
          <w:color w:val="565049"/>
          <w:sz w:val="21"/>
          <w:szCs w:val="21"/>
          <w:rFonts w:ascii="Calibri" w:cs="Calibri" w:eastAsia="Calibri" w:hAnsi="Calibri"/>
        </w:rPr>
        <w:t xml:space="preserve">The Timevera admin dashboard now sends timesheets and leave straight into Build One Design &amp; Construction's Xero payroll — and every feature raised in review is complete.</w:t>
      </w:r>
    </w:p>
    <w:p>
      <w:pPr>
        <w:spacing w:after="160"/>
      </w:pPr>
      <w:r>
        <w:rPr>
          <w:b/>
          <w:bCs/>
          <w:color w:val="565049"/>
          <w:sz w:val="17"/>
          <w:szCs w:val="17"/>
          <w:rFonts w:ascii="Calibri" w:cs="Calibri" w:eastAsia="Calibri" w:hAnsi="Calibri"/>
        </w:rPr>
        <w:t xml:space="preserve">Organisation: </w:t>
      </w:r>
      <w:r>
        <w:rPr>
          <w:color w:val="8A8177"/>
          <w:sz w:val="17"/>
          <w:szCs w:val="17"/>
          <w:rFonts w:ascii="Calibri" w:cs="Calibri" w:eastAsia="Calibri" w:hAnsi="Calibri"/>
        </w:rPr>
        <w:t xml:space="preserve">Build One Design and Construction     </w:t>
      </w:r>
      <w:r>
        <w:rPr>
          <w:b/>
          <w:bCs/>
          <w:color w:val="565049"/>
          <w:sz w:val="17"/>
          <w:szCs w:val="17"/>
          <w:rFonts w:ascii="Calibri" w:cs="Calibri" w:eastAsia="Calibri" w:hAnsi="Calibri"/>
        </w:rPr>
        <w:t xml:space="preserve">Connection: </w:t>
      </w:r>
      <w:r>
        <w:rPr>
          <w:color w:val="8A8177"/>
          <w:sz w:val="17"/>
          <w:szCs w:val="17"/>
          <w:rFonts w:ascii="Calibri" w:cs="Calibri" w:eastAsia="Calibri" w:hAnsi="Calibri"/>
        </w:rPr>
        <w:t xml:space="preserve">Xero Custom Connection     </w:t>
      </w:r>
      <w:r>
        <w:rPr>
          <w:b/>
          <w:bCs/>
          <w:color w:val="565049"/>
          <w:sz w:val="17"/>
          <w:szCs w:val="17"/>
          <w:rFonts w:ascii="Calibri" w:cs="Calibri" w:eastAsia="Calibri" w:hAnsi="Calibri"/>
        </w:rPr>
        <w:t xml:space="preserve">Date: </w:t>
      </w:r>
      <w:r>
        <w:rPr>
          <w:color w:val="8A8177"/>
          <w:sz w:val="17"/>
          <w:szCs w:val="17"/>
          <w:rFonts w:ascii="Calibri" w:cs="Calibri" w:eastAsia="Calibri" w:hAnsi="Calibri"/>
        </w:rPr>
        <w:t xml:space="preserve">1 September 2026</w:t>
      </w:r>
    </w:p>
    <w:tbl>
      <w:tblPr>
        <w:tblW w:type="pct" w:w="100%"/>
        <w:tblBorders>
          <w:top w:val="single" w:color="E4CC93" w:sz="4"/>
          <w:left w:val="single" w:color="E4CC93" w:sz="4"/>
          <w:bottom w:val="single" w:color="E4CC93" w:sz="4"/>
          <w:right w:val="single" w:color="E4CC93" w:sz="4"/>
          <w:insideH w:val="single" w:color="E4CC93" w:sz="4"/>
          <w:insideV w:val="single" w:color="E4CC93" w:sz="4"/>
        </w:tblBorders>
      </w:tblPr>
      <w:tblGrid>
        <w:gridCol w:w="100"/>
      </w:tblGrid>
      <w:tr>
        <w:tc>
          <w:tcPr>
            <w:shd w:fill="EAF2E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2F7A4A"/>
                <w:sz w:val="20"/>
                <w:szCs w:val="20"/>
                <w:rFonts w:ascii="Calibri" w:cs="Calibri" w:eastAsia="Calibri" w:hAnsi="Calibri"/>
                <w:spacing w:val="20"/>
              </w:rPr>
              <w:t xml:space="preserve">●  CONNECTED</w:t>
            </w:r>
          </w:p>
          <w:p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Authorised by chris@buildonedesignconstruction.com.au. Tested end-to-end — timesheets arrive in Xero as </w:t>
            </w:r>
            <w:r>
              <w:rPr>
                <w:b/>
                <w:bCs/>
                <w:color w:val="1C1A16"/>
                <w:sz w:val="18"/>
                <w:szCs w:val="18"/>
                <w:rFonts w:ascii="Calibri" w:cs="Calibri" w:eastAsia="Calibri" w:hAnsi="Calibri"/>
              </w:rPr>
              <w:t xml:space="preserve">drafts</w:t>
            </w:r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 for your team to review and approve before payroll.</w:t>
            </w:r>
          </w:p>
        </w:tc>
      </w:tr>
    </w:tbl>
    <w:p>
      <w:pPr>
        <w:spacing w:before="260" w:after="60"/>
      </w:pPr>
      <w:r>
        <w:rPr>
          <w:b/>
          <w:bCs/>
          <w:color w:val="1C1A16"/>
          <w:sz w:val="26"/>
          <w:szCs w:val="26"/>
          <w:rFonts w:ascii="Georgia" w:cs="Georgia" w:eastAsia="Georgia" w:hAnsi="Georgia"/>
        </w:rPr>
        <w:t xml:space="preserve">The Xero integration</w:t>
      </w:r>
    </w:p>
    <w:p>
      <w:pPr>
        <w:spacing w:after="140"/>
      </w:pPr>
      <w:r>
        <w:rPr>
          <w:i/>
          <w:iCs/>
          <w:color w:val="8A8177"/>
          <w:sz w:val="19"/>
          <w:szCs w:val="19"/>
          <w:rFonts w:ascii="Calibri" w:cs="Calibri" w:eastAsia="Calibri" w:hAnsi="Calibri"/>
        </w:rPr>
        <w:t xml:space="preserve">What the "Push to Xero" button does, verified against Build One's live org.</w:t>
      </w:r>
    </w:p>
    <w:tbl>
      <w:tblPr>
        <w:tblW w:type="pct" w:w="100%"/>
        <w:tblBorders>
          <w:top w:val="single" w:color="E3DCD1" w:sz="4"/>
          <w:left w:val="single" w:color="E3DCD1" w:sz="4"/>
          <w:bottom w:val="single" w:color="E3DCD1" w:sz="4"/>
          <w:right w:val="single" w:color="E3DCD1" w:sz="4"/>
          <w:insideH w:val="single" w:color="E3DCD1" w:sz="4"/>
          <w:insideV w:val="single" w:color="E3DCD1" w:sz="4"/>
        </w:tblBorders>
      </w:tblPr>
      <w:tblGrid>
        <w:gridCol w:w="100"/>
        <w:gridCol w:w="100"/>
        <w:gridCol w:w="100"/>
      </w:tblGrid>
      <w:tr>
        <w:tc>
          <w:tcPr>
            <w:tcW w:type="pct" w:w="6%"/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/>
                <w:bCs/>
                <w:color w:val="2F7A4A"/>
                <w:sz w:val="22"/>
                <w:szCs w:val="22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pct" w:w="74%"/>
            <w:tcMar>
              <w:top w:type="dxa" w:w="90"/>
              <w:left w:type="dxa" w:w="40"/>
              <w:bottom w:type="dxa" w:w="9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olor w:val="1C1A16"/>
                <w:sz w:val="20"/>
                <w:szCs w:val="20"/>
                <w:rFonts w:ascii="Calibri" w:cs="Calibri" w:eastAsia="Calibri" w:hAnsi="Calibri"/>
              </w:rPr>
              <w:t xml:space="preserve">Worked hours push to Xero</w:t>
            </w:r>
          </w:p>
          <w:p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Each employee's hours land on the correct earnings rate (Ordinary, Overtime, etc.) and on the actual day worked.</w:t>
            </w:r>
          </w:p>
        </w:tc>
        <w:tc>
          <w:tcPr>
            <w:tcW w:type="pct" w:w="20%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7A4A"/>
                <w:sz w:val="15"/>
                <w:szCs w:val="15"/>
                <w:rFonts w:ascii="Calibri" w:cs="Calibri" w:eastAsia="Calibri" w:hAnsi="Calibri"/>
                <w:spacing w:val="20"/>
              </w:rPr>
              <w:t xml:space="preserve">WORKING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/>
                <w:bCs/>
                <w:color w:val="2F7A4A"/>
                <w:sz w:val="22"/>
                <w:szCs w:val="22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pct" w:w="74%"/>
            <w:tcMar>
              <w:top w:type="dxa" w:w="90"/>
              <w:left w:type="dxa" w:w="40"/>
              <w:bottom w:type="dxa" w:w="9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olor w:val="1C1A16"/>
                <w:sz w:val="20"/>
                <w:szCs w:val="20"/>
                <w:rFonts w:ascii="Calibri" w:cs="Calibri" w:eastAsia="Calibri" w:hAnsi="Calibri"/>
              </w:rPr>
              <w:t xml:space="preserve">Approved leave push to Xero</w:t>
            </w:r>
          </w:p>
          <w:p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Approved leave for the period is sent alongside the hours and flows onto the payslip when payroll is run.</w:t>
            </w:r>
          </w:p>
        </w:tc>
        <w:tc>
          <w:tcPr>
            <w:tcW w:type="pct" w:w="20%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7A4A"/>
                <w:sz w:val="15"/>
                <w:szCs w:val="15"/>
                <w:rFonts w:ascii="Calibri" w:cs="Calibri" w:eastAsia="Calibri" w:hAnsi="Calibri"/>
                <w:spacing w:val="20"/>
              </w:rPr>
              <w:t xml:space="preserve">WORKING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/>
                <w:bCs/>
                <w:color w:val="2F7A4A"/>
                <w:sz w:val="22"/>
                <w:szCs w:val="22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pct" w:w="74%"/>
            <w:tcMar>
              <w:top w:type="dxa" w:w="90"/>
              <w:left w:type="dxa" w:w="40"/>
              <w:bottom w:type="dxa" w:w="9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olor w:val="1C1A16"/>
                <w:sz w:val="20"/>
                <w:szCs w:val="20"/>
                <w:rFonts w:ascii="Calibri" w:cs="Calibri" w:eastAsia="Calibri" w:hAnsi="Calibri"/>
              </w:rPr>
              <w:t xml:space="preserve">Sent as drafts for your approval</w:t>
            </w:r>
          </w:p>
          <w:p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Nothing is posted automatically. Your accountant reviews and approves the drafts in Xero, then runs payroll.</w:t>
            </w:r>
          </w:p>
        </w:tc>
        <w:tc>
          <w:tcPr>
            <w:tcW w:type="pct" w:w="20%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7A4A"/>
                <w:sz w:val="15"/>
                <w:szCs w:val="15"/>
                <w:rFonts w:ascii="Calibri" w:cs="Calibri" w:eastAsia="Calibri" w:hAnsi="Calibri"/>
                <w:spacing w:val="20"/>
              </w:rPr>
              <w:t xml:space="preserve">BY DESIGN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/>
                <w:bCs/>
                <w:color w:val="2F7A4A"/>
                <w:sz w:val="22"/>
                <w:szCs w:val="22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pct" w:w="74%"/>
            <w:tcMar>
              <w:top w:type="dxa" w:w="90"/>
              <w:left w:type="dxa" w:w="40"/>
              <w:bottom w:type="dxa" w:w="9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olor w:val="1C1A16"/>
                <w:sz w:val="20"/>
                <w:szCs w:val="20"/>
                <w:rFonts w:ascii="Calibri" w:cs="Calibri" w:eastAsia="Calibri" w:hAnsi="Calibri"/>
              </w:rPr>
              <w:t xml:space="preserve">Job tracking attached automatically</w:t>
            </w:r>
          </w:p>
          <w:p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The correct Job (Build One's tracking category) is attached to every line, as Xero requires.</w:t>
            </w:r>
          </w:p>
        </w:tc>
        <w:tc>
          <w:tcPr>
            <w:tcW w:type="pct" w:w="20%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7A4A"/>
                <w:sz w:val="15"/>
                <w:szCs w:val="15"/>
                <w:rFonts w:ascii="Calibri" w:cs="Calibri" w:eastAsia="Calibri" w:hAnsi="Calibri"/>
                <w:spacing w:val="20"/>
              </w:rPr>
              <w:t xml:space="preserve">WORKING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/>
                <w:bCs/>
                <w:color w:val="2F7A4A"/>
                <w:sz w:val="22"/>
                <w:szCs w:val="22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pct" w:w="74%"/>
            <w:tcMar>
              <w:top w:type="dxa" w:w="90"/>
              <w:left w:type="dxa" w:w="40"/>
              <w:bottom w:type="dxa" w:w="9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olor w:val="1C1A16"/>
                <w:sz w:val="20"/>
                <w:szCs w:val="20"/>
                <w:rFonts w:ascii="Calibri" w:cs="Calibri" w:eastAsia="Calibri" w:hAnsi="Calibri"/>
              </w:rPr>
              <w:t xml:space="preserve">Pay period aligns to Xero automatically</w:t>
            </w:r>
          </w:p>
          <w:p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The timesheet window snaps to the employee's Xero pay calendar, so Xero accepts it every time.</w:t>
            </w:r>
          </w:p>
        </w:tc>
        <w:tc>
          <w:tcPr>
            <w:tcW w:type="pct" w:w="20%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7A4A"/>
                <w:sz w:val="15"/>
                <w:szCs w:val="15"/>
                <w:rFonts w:ascii="Calibri" w:cs="Calibri" w:eastAsia="Calibri" w:hAnsi="Calibri"/>
                <w:spacing w:val="20"/>
              </w:rPr>
              <w:t xml:space="preserve">WORKING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/>
                <w:bCs/>
                <w:color w:val="2F7A4A"/>
                <w:sz w:val="22"/>
                <w:szCs w:val="22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pct" w:w="74%"/>
            <w:tcMar>
              <w:top w:type="dxa" w:w="90"/>
              <w:left w:type="dxa" w:w="40"/>
              <w:bottom w:type="dxa" w:w="9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olor w:val="1C1A16"/>
                <w:sz w:val="20"/>
                <w:szCs w:val="20"/>
                <w:rFonts w:ascii="Calibri" w:cs="Calibri" w:eastAsia="Calibri" w:hAnsi="Calibri"/>
              </w:rPr>
              <w:t xml:space="preserve">Clear result for every employee</w:t>
            </w:r>
          </w:p>
          <w:p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Anyone without a matching Xero employee is reported, not silently skipped.</w:t>
            </w:r>
          </w:p>
        </w:tc>
        <w:tc>
          <w:tcPr>
            <w:tcW w:type="pct" w:w="20%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7A4A"/>
                <w:sz w:val="15"/>
                <w:szCs w:val="15"/>
                <w:rFonts w:ascii="Calibri" w:cs="Calibri" w:eastAsia="Calibri" w:hAnsi="Calibri"/>
                <w:spacing w:val="20"/>
              </w:rPr>
              <w:t xml:space="preserve">WORKING</w:t>
            </w:r>
          </w:p>
        </w:tc>
      </w:tr>
    </w:tbl>
    <w:p>
      <w:pPr>
        <w:spacing w:after="200"/>
      </w:pPr>
    </w:p>
    <w:p>
      <w:pPr>
        <w:spacing w:before="260" w:after="60"/>
      </w:pPr>
      <w:r>
        <w:rPr>
          <w:b/>
          <w:bCs/>
          <w:color w:val="1C1A16"/>
          <w:sz w:val="26"/>
          <w:szCs w:val="26"/>
          <w:rFonts w:ascii="Georgia" w:cs="Georgia" w:eastAsia="Georgia" w:hAnsi="Georgia"/>
        </w:rPr>
        <w:t xml:space="preserve">Verified against Build One's Xero org</w:t>
      </w:r>
    </w:p>
    <w:p>
      <w:pPr>
        <w:spacing w:after="40"/>
      </w:pPr>
    </w:p>
    <w:tbl>
      <w:tblPr>
        <w:tblW w:type="pct" w:w="100%"/>
        <w:tblBorders>
          <w:top w:val="single" w:color="E3DCD1" w:sz="4"/>
          <w:left w:val="single" w:color="E3DCD1" w:sz="4"/>
          <w:bottom w:val="single" w:color="E3DCD1" w:sz="4"/>
          <w:right w:val="single" w:color="E3DCD1" w:sz="4"/>
          <w:insideH w:val="single" w:color="E3DCD1" w:sz="4"/>
          <w:insideV w:val="single" w:color="E3DCD1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F1EDE6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C1A16"/>
                <w:sz w:val="40"/>
                <w:szCs w:val="40"/>
                <w:rFonts w:ascii="Georgia" w:cs="Georgia" w:eastAsia="Georgia" w:hAnsi="Georgia"/>
              </w:rPr>
              <w:t xml:space="preserve">6</w:t>
            </w:r>
          </w:p>
          <w:p>
            <w:pPr>
              <w:jc w:val="center"/>
            </w:pPr>
            <w:r>
              <w:rPr>
                <w:color w:val="8A8177"/>
                <w:sz w:val="15"/>
                <w:szCs w:val="15"/>
                <w:rFonts w:ascii="Calibri" w:cs="Calibri" w:eastAsia="Calibri" w:hAnsi="Calibri"/>
              </w:rPr>
              <w:t xml:space="preserve">Active employees synced</w:t>
            </w:r>
          </w:p>
        </w:tc>
        <w:tc>
          <w:tcPr>
            <w:tcW w:type="pct" w:w="25%"/>
            <w:shd w:fill="F1EDE6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C1A16"/>
                <w:sz w:val="40"/>
                <w:szCs w:val="40"/>
                <w:rFonts w:ascii="Georgia" w:cs="Georgia" w:eastAsia="Georgia" w:hAnsi="Georgia"/>
              </w:rPr>
              <w:t xml:space="preserve">20</w:t>
            </w:r>
          </w:p>
          <w:p>
            <w:pPr>
              <w:jc w:val="center"/>
            </w:pPr>
            <w:r>
              <w:rPr>
                <w:color w:val="8A8177"/>
                <w:sz w:val="15"/>
                <w:szCs w:val="15"/>
                <w:rFonts w:ascii="Calibri" w:cs="Calibri" w:eastAsia="Calibri" w:hAnsi="Calibri"/>
              </w:rPr>
              <w:t xml:space="preserve">Earnings rates read</w:t>
            </w:r>
          </w:p>
        </w:tc>
        <w:tc>
          <w:tcPr>
            <w:tcW w:type="pct" w:w="25%"/>
            <w:shd w:fill="F1EDE6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C1A16"/>
                <w:sz w:val="40"/>
                <w:szCs w:val="40"/>
                <w:rFonts w:ascii="Georgia" w:cs="Georgia" w:eastAsia="Georgia" w:hAnsi="Georgia"/>
              </w:rPr>
              <w:t xml:space="preserve">9</w:t>
            </w:r>
          </w:p>
          <w:p>
            <w:pPr>
              <w:jc w:val="center"/>
            </w:pPr>
            <w:r>
              <w:rPr>
                <w:color w:val="8A8177"/>
                <w:sz w:val="15"/>
                <w:szCs w:val="15"/>
                <w:rFonts w:ascii="Calibri" w:cs="Calibri" w:eastAsia="Calibri" w:hAnsi="Calibri"/>
              </w:rPr>
              <w:t xml:space="preserve">Leave types mapped</w:t>
            </w:r>
          </w:p>
        </w:tc>
        <w:tc>
          <w:tcPr>
            <w:tcW w:type="pct" w:w="25%"/>
            <w:shd w:fill="F1EDE6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1C1A16"/>
                <w:sz w:val="40"/>
                <w:szCs w:val="40"/>
                <w:rFonts w:ascii="Georgia" w:cs="Georgia" w:eastAsia="Georgia" w:hAnsi="Georgia"/>
              </w:rPr>
              <w:t xml:space="preserve">8</w:t>
            </w:r>
          </w:p>
          <w:p>
            <w:pPr>
              <w:jc w:val="center"/>
            </w:pPr>
            <w:r>
              <w:rPr>
                <w:color w:val="8A8177"/>
                <w:sz w:val="15"/>
                <w:szCs w:val="15"/>
                <w:rFonts w:ascii="Calibri" w:cs="Calibri" w:eastAsia="Calibri" w:hAnsi="Calibri"/>
              </w:rPr>
              <w:t xml:space="preserve">Jobs for tracking</w:t>
            </w:r>
          </w:p>
        </w:tc>
      </w:tr>
    </w:tbl>
    <w:p>
      <w:pPr>
        <w:spacing w:before="260" w:after="60"/>
      </w:pPr>
      <w:r>
        <w:rPr>
          <w:b/>
          <w:bCs/>
          <w:color w:val="1C1A16"/>
          <w:sz w:val="26"/>
          <w:szCs w:val="26"/>
          <w:rFonts w:ascii="Georgia" w:cs="Georgia" w:eastAsia="Georgia" w:hAnsi="Georgia"/>
        </w:rPr>
        <w:t xml:space="preserve">The other concerns raised in review</w:t>
      </w:r>
    </w:p>
    <w:p>
      <w:pPr>
        <w:spacing w:after="140"/>
      </w:pPr>
      <w:r>
        <w:rPr>
          <w:i/>
          <w:iCs/>
          <w:color w:val="8A8177"/>
          <w:sz w:val="19"/>
          <w:szCs w:val="19"/>
          <w:rFonts w:ascii="Calibri" w:cs="Calibri" w:eastAsia="Calibri" w:hAnsi="Calibri"/>
        </w:rPr>
        <w:t xml:space="preserve">All addressed and committed.</w:t>
      </w:r>
    </w:p>
    <w:tbl>
      <w:tblPr>
        <w:tblW w:type="pct" w:w="100%"/>
        <w:tblBorders>
          <w:top w:val="single" w:color="E3DCD1" w:sz="4"/>
          <w:left w:val="single" w:color="E3DCD1" w:sz="4"/>
          <w:bottom w:val="single" w:color="E3DCD1" w:sz="4"/>
          <w:right w:val="single" w:color="E3DCD1" w:sz="4"/>
          <w:insideH w:val="single" w:color="E3DCD1" w:sz="4"/>
          <w:insideV w:val="single" w:color="E3DCD1" w:sz="4"/>
        </w:tblBorders>
      </w:tblPr>
      <w:tblGrid>
        <w:gridCol w:w="100"/>
        <w:gridCol w:w="100"/>
        <w:gridCol w:w="100"/>
      </w:tblGrid>
      <w:tr>
        <w:tc>
          <w:tcPr>
            <w:tcW w:type="pct" w:w="6%"/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/>
                <w:bCs/>
                <w:color w:val="2F7A4A"/>
                <w:sz w:val="22"/>
                <w:szCs w:val="22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pct" w:w="74%"/>
            <w:tcMar>
              <w:top w:type="dxa" w:w="90"/>
              <w:left w:type="dxa" w:w="40"/>
              <w:bottom w:type="dxa" w:w="9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olor w:val="1C1A16"/>
                <w:sz w:val="20"/>
                <w:szCs w:val="20"/>
                <w:rFonts w:ascii="Calibri" w:cs="Calibri" w:eastAsia="Calibri" w:hAnsi="Calibri"/>
              </w:rPr>
              <w:t xml:space="preserve">Build One + ARKO logos on timesheet &amp; payslip PDFs</w:t>
            </w:r>
          </w:p>
          <w:p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Both logos now appear on every generated PDF.</w:t>
            </w:r>
          </w:p>
        </w:tc>
        <w:tc>
          <w:tcPr>
            <w:tcW w:type="pct" w:w="20%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7A4A"/>
                <w:sz w:val="15"/>
                <w:szCs w:val="15"/>
                <w:rFonts w:ascii="Calibri" w:cs="Calibri" w:eastAsia="Calibri" w:hAnsi="Calibri"/>
                <w:spacing w:val="20"/>
              </w:rPr>
              <w:t xml:space="preserve">DONE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/>
                <w:bCs/>
                <w:color w:val="2F7A4A"/>
                <w:sz w:val="22"/>
                <w:szCs w:val="22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pct" w:w="74%"/>
            <w:tcMar>
              <w:top w:type="dxa" w:w="90"/>
              <w:left w:type="dxa" w:w="40"/>
              <w:bottom w:type="dxa" w:w="9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olor w:val="1C1A16"/>
                <w:sz w:val="20"/>
                <w:szCs w:val="20"/>
                <w:rFonts w:ascii="Calibri" w:cs="Calibri" w:eastAsia="Calibri" w:hAnsi="Calibri"/>
              </w:rPr>
              <w:t xml:space="preserve">New employee automatically emailed their login</w:t>
            </w:r>
          </w:p>
          <w:p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Creating an account now sends the person their name, email and password automatically.</w:t>
            </w:r>
          </w:p>
        </w:tc>
        <w:tc>
          <w:tcPr>
            <w:tcW w:type="pct" w:w="20%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7A4A"/>
                <w:sz w:val="15"/>
                <w:szCs w:val="15"/>
                <w:rFonts w:ascii="Calibri" w:cs="Calibri" w:eastAsia="Calibri" w:hAnsi="Calibri"/>
                <w:spacing w:val="20"/>
              </w:rPr>
              <w:t xml:space="preserve">DONE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/>
                <w:bCs/>
                <w:color w:val="2F7A4A"/>
                <w:sz w:val="22"/>
                <w:szCs w:val="22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pct" w:w="74%"/>
            <w:tcMar>
              <w:top w:type="dxa" w:w="90"/>
              <w:left w:type="dxa" w:w="40"/>
              <w:bottom w:type="dxa" w:w="9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olor w:val="1C1A16"/>
                <w:sz w:val="20"/>
                <w:szCs w:val="20"/>
                <w:rFonts w:ascii="Calibri" w:cs="Calibri" w:eastAsia="Calibri" w:hAnsi="Calibri"/>
              </w:rPr>
              <w:t xml:space="preserve">Custom pay-run start &amp; end dates</w:t>
            </w:r>
          </w:p>
          <w:p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Any period start and end date can be set when generating a pay run.</w:t>
            </w:r>
          </w:p>
        </w:tc>
        <w:tc>
          <w:tcPr>
            <w:tcW w:type="pct" w:w="20%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7A4A"/>
                <w:sz w:val="15"/>
                <w:szCs w:val="15"/>
                <w:rFonts w:ascii="Calibri" w:cs="Calibri" w:eastAsia="Calibri" w:hAnsi="Calibri"/>
                <w:spacing w:val="20"/>
              </w:rPr>
              <w:t xml:space="preserve">DONE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/>
                <w:bCs/>
                <w:color w:val="2F7A4A"/>
                <w:sz w:val="22"/>
                <w:szCs w:val="22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pct" w:w="74%"/>
            <w:tcMar>
              <w:top w:type="dxa" w:w="90"/>
              <w:left w:type="dxa" w:w="40"/>
              <w:bottom w:type="dxa" w:w="9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olor w:val="1C1A16"/>
                <w:sz w:val="20"/>
                <w:szCs w:val="20"/>
                <w:rFonts w:ascii="Calibri" w:cs="Calibri" w:eastAsia="Calibri" w:hAnsi="Calibri"/>
              </w:rPr>
              <w:t xml:space="preserve">Xero push error fixed</w:t>
            </w:r>
          </w:p>
          <w:p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The "unexpected end of JSON" push error is resolved, with clear messages if anything goes wrong.</w:t>
            </w:r>
          </w:p>
        </w:tc>
        <w:tc>
          <w:tcPr>
            <w:tcW w:type="pct" w:w="20%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7A4A"/>
                <w:sz w:val="15"/>
                <w:szCs w:val="15"/>
                <w:rFonts w:ascii="Calibri" w:cs="Calibri" w:eastAsia="Calibri" w:hAnsi="Calibri"/>
                <w:spacing w:val="20"/>
              </w:rPr>
              <w:t xml:space="preserve">DONE</w:t>
            </w:r>
          </w:p>
        </w:tc>
      </w:tr>
      <w:tr>
        <w:tc>
          <w:tcPr>
            <w:tcW w:type="pct" w:w="6%"/>
            <w:shd w:fill="FFFFFF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r>
              <w:rPr>
                <w:b/>
                <w:bCs/>
                <w:color w:val="2F7A4A"/>
                <w:sz w:val="22"/>
                <w:szCs w:val="22"/>
                <w:rFonts w:ascii="Calibri" w:cs="Calibri" w:eastAsia="Calibri" w:hAnsi="Calibri"/>
              </w:rPr>
              <w:t xml:space="preserve">✓</w:t>
            </w:r>
          </w:p>
        </w:tc>
        <w:tc>
          <w:tcPr>
            <w:tcW w:type="pct" w:w="74%"/>
            <w:tcMar>
              <w:top w:type="dxa" w:w="90"/>
              <w:left w:type="dxa" w:w="40"/>
              <w:bottom w:type="dxa" w:w="90"/>
              <w:right w:type="dxa" w:w="60"/>
            </w:tcMar>
          </w:tcPr>
          <w:p>
            <w:pPr>
              <w:spacing w:after="30"/>
            </w:pPr>
            <w:r>
              <w:rPr>
                <w:b/>
                <w:bCs/>
                <w:color w:val="1C1A16"/>
                <w:sz w:val="20"/>
                <w:szCs w:val="20"/>
                <w:rFonts w:ascii="Calibri" w:cs="Calibri" w:eastAsia="Calibri" w:hAnsi="Calibri"/>
              </w:rPr>
              <w:t xml:space="preserve">Projects tab shows active projects first</w:t>
            </w:r>
          </w:p>
          <w:p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Active projects are listed first, and each tab's count reflects active projects only.</w:t>
            </w:r>
          </w:p>
        </w:tc>
        <w:tc>
          <w:tcPr>
            <w:tcW w:type="pct" w:w="20%"/>
            <w:tcMar>
              <w:top w:type="dxa" w:w="90"/>
              <w:left w:type="dxa" w:w="40"/>
              <w:bottom w:type="dxa" w:w="90"/>
              <w:right w:type="dxa" w:w="4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2F7A4A"/>
                <w:sz w:val="15"/>
                <w:szCs w:val="15"/>
                <w:rFonts w:ascii="Calibri" w:cs="Calibri" w:eastAsia="Calibri" w:hAnsi="Calibri"/>
                <w:spacing w:val="20"/>
              </w:rPr>
              <w:t xml:space="preserve">DONE</w:t>
            </w:r>
          </w:p>
        </w:tc>
      </w:tr>
    </w:tbl>
    <w:p>
      <w:pPr>
        <w:spacing w:after="220"/>
      </w:pPr>
    </w:p>
    <w:p>
      <w:pPr>
        <w:spacing w:before="260" w:after="60"/>
      </w:pPr>
      <w:r>
        <w:rPr>
          <w:b/>
          <w:bCs/>
          <w:color w:val="1C1A16"/>
          <w:sz w:val="26"/>
          <w:szCs w:val="26"/>
          <w:rFonts w:ascii="Georgia" w:cs="Georgia" w:eastAsia="Georgia" w:hAnsi="Georgia"/>
        </w:rPr>
        <w:t xml:space="preserve">Action needed — ARKO Joinery Xero invite</w:t>
      </w:r>
    </w:p>
    <w:p>
      <w:pPr>
        <w:spacing w:after="40"/>
      </w:pPr>
    </w:p>
    <w:tbl>
      <w:tblPr>
        <w:tblW w:type="pct" w:w="100%"/>
        <w:tblBorders>
          <w:top w:val="single" w:color="E4CC93" w:sz="4"/>
          <w:left w:val="single" w:color="E4CC93" w:sz="4"/>
          <w:bottom w:val="single" w:color="E4CC93" w:sz="4"/>
          <w:right w:val="single" w:color="E4CC93" w:sz="4"/>
          <w:insideH w:val="single" w:color="E4CC93" w:sz="4"/>
          <w:insideV w:val="single" w:color="E4CC93" w:sz="4"/>
        </w:tblBorders>
      </w:tblPr>
      <w:tblGrid>
        <w:gridCol w:w="100"/>
      </w:tblGrid>
      <w:tr>
        <w:tc>
          <w:tcPr>
            <w:shd w:fill="F7EFDD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/>
            </w:pPr>
            <w:r>
              <w:rPr>
                <w:b/>
                <w:bCs/>
                <w:color w:val="9A6A12"/>
                <w:sz w:val="18"/>
                <w:szCs w:val="18"/>
                <w:rFonts w:ascii="Calibri" w:cs="Calibri" w:eastAsia="Calibri" w:hAnsi="Calibri"/>
                <w:spacing w:val="20"/>
              </w:rPr>
              <w:t xml:space="preserve">●  ACTION NEEDED</w:t>
            </w:r>
          </w:p>
          <w:p>
            <w:pPr>
              <w:spacing w:after="120"/>
            </w:pPr>
            <w:r>
              <w:rPr>
                <w:color w:val="565049"/>
                <w:sz w:val="19"/>
                <w:szCs w:val="19"/>
                <w:rFonts w:ascii="Calibri" w:cs="Calibri" w:eastAsia="Calibri" w:hAnsi="Calibri"/>
              </w:rPr>
              <w:t xml:space="preserve">A Xero Custom Connection links to </w:t>
            </w:r>
            <w:r>
              <w:rPr>
                <w:b/>
                <w:bCs/>
                <w:color w:val="1C1A16"/>
                <w:sz w:val="19"/>
                <w:szCs w:val="19"/>
                <w:rFonts w:ascii="Calibri" w:cs="Calibri" w:eastAsia="Calibri" w:hAnsi="Calibri"/>
              </w:rPr>
              <w:t xml:space="preserve">one organisation only</w:t>
            </w:r>
            <w:r>
              <w:rPr>
                <w:color w:val="565049"/>
                <w:sz w:val="19"/>
                <w:szCs w:val="19"/>
                <w:rFonts w:ascii="Calibri" w:cs="Calibri" w:eastAsia="Calibri" w:hAnsi="Calibri"/>
              </w:rPr>
              <w:t xml:space="preserve">. Build One is connected and working. To run the same integration for </w:t>
            </w:r>
            <w:r>
              <w:rPr>
                <w:b/>
                <w:bCs/>
                <w:color w:val="1C1A16"/>
                <w:sz w:val="19"/>
                <w:szCs w:val="19"/>
                <w:rFonts w:ascii="Calibri" w:cs="Calibri" w:eastAsia="Calibri" w:hAnsi="Calibri"/>
              </w:rPr>
              <w:t xml:space="preserve">ARKO Joinery Pty Ltd</w:t>
            </w:r>
            <w:r>
              <w:rPr>
                <w:color w:val="565049"/>
                <w:sz w:val="19"/>
                <w:szCs w:val="19"/>
                <w:rFonts w:ascii="Calibri" w:cs="Calibri" w:eastAsia="Calibri" w:hAnsi="Calibri"/>
              </w:rPr>
              <w:t xml:space="preserve">, we need a separate connection authorised on ARKO's Xero org — the same one-time step Chris completed for Build One.</w:t>
            </w:r>
          </w:p>
          <w:p>
            <w:pPr>
              <w:spacing w:after="50"/>
            </w:pPr>
            <w:r>
              <w:rPr>
                <w:b/>
                <w:bCs/>
                <w:color w:val="9A6A12"/>
                <w:sz w:val="19"/>
                <w:szCs w:val="19"/>
                <w:rFonts w:ascii="Calibri" w:cs="Calibri" w:eastAsia="Calibri" w:hAnsi="Calibri"/>
              </w:rPr>
              <w:t xml:space="preserve">1.  </w:t>
            </w:r>
            <w:r>
              <w:rPr>
                <w:color w:val="565049"/>
                <w:sz w:val="19"/>
                <w:szCs w:val="19"/>
                <w:rFonts w:ascii="Calibri" w:cs="Calibri" w:eastAsia="Calibri" w:hAnsi="Calibri"/>
              </w:rPr>
              <w:t xml:space="preserve">Someone with admin access to ARKO Joinery's Xero receives and accepts the Custom Connection invite.</w:t>
            </w:r>
          </w:p>
          <w:p>
            <w:pPr>
              <w:spacing w:after="50"/>
            </w:pPr>
            <w:r>
              <w:rPr>
                <w:b/>
                <w:bCs/>
                <w:color w:val="9A6A12"/>
                <w:sz w:val="19"/>
                <w:szCs w:val="19"/>
                <w:rFonts w:ascii="Calibri" w:cs="Calibri" w:eastAsia="Calibri" w:hAnsi="Calibri"/>
              </w:rPr>
              <w:t xml:space="preserve">2.  </w:t>
            </w:r>
            <w:r>
              <w:rPr>
                <w:color w:val="565049"/>
                <w:sz w:val="19"/>
                <w:szCs w:val="19"/>
                <w:rFonts w:ascii="Calibri" w:cs="Calibri" w:eastAsia="Calibri" w:hAnsi="Calibri"/>
              </w:rPr>
              <w:t xml:space="preserve">They approve the four scopes below (identical to Build One's).</w:t>
            </w:r>
          </w:p>
          <w:p>
            <w:pPr>
              <w:spacing w:after="120"/>
            </w:pPr>
            <w:r>
              <w:rPr>
                <w:b/>
                <w:bCs/>
                <w:color w:val="9A6A12"/>
                <w:sz w:val="19"/>
                <w:szCs w:val="19"/>
                <w:rFonts w:ascii="Calibri" w:cs="Calibri" w:eastAsia="Calibri" w:hAnsi="Calibri"/>
              </w:rPr>
              <w:t xml:space="preserve">3.  </w:t>
            </w:r>
            <w:r>
              <w:rPr>
                <w:color w:val="565049"/>
                <w:sz w:val="19"/>
                <w:szCs w:val="19"/>
                <w:rFonts w:ascii="Calibri" w:cs="Calibri" w:eastAsia="Calibri" w:hAnsi="Calibri"/>
              </w:rPr>
              <w:t xml:space="preserve">Xero issues a Client Secret for ARKO, which we add to the app — and ARKO's push works exactly like Build One's.</w:t>
            </w:r>
          </w:p>
          <w:p>
            <w:pPr>
              <w:spacing w:after="30"/>
            </w:pPr>
            <w:r>
              <w:rPr>
                <w:b/>
                <w:bCs/>
                <w:color w:val="7C5F38"/>
                <w:sz w:val="17"/>
                <w:szCs w:val="17"/>
                <w:rFonts w:ascii="Calibri" w:cs="Calibri" w:eastAsia="Calibri" w:hAnsi="Calibri"/>
              </w:rPr>
              <w:t xml:space="preserve">Scopes to approve:</w:t>
            </w:r>
          </w:p>
          <w:p>
            <w:r>
              <w:rPr>
                <w:color w:val="7C5F38"/>
                <w:sz w:val="18"/>
                <w:szCs w:val="18"/>
                <w:rFonts w:ascii="Consolas" w:cs="Consolas" w:eastAsia="Consolas" w:hAnsi="Consolas"/>
              </w:rPr>
              <w:t xml:space="preserve">payroll.employees</w:t>
            </w:r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  —  read employees, write leave</w:t>
            </w:r>
          </w:p>
          <w:p>
            <w:r>
              <w:rPr>
                <w:color w:val="7C5F38"/>
                <w:sz w:val="18"/>
                <w:szCs w:val="18"/>
                <w:rFonts w:ascii="Consolas" w:cs="Consolas" w:eastAsia="Consolas" w:hAnsi="Consolas"/>
              </w:rPr>
              <w:t xml:space="preserve">payroll.timesheets</w:t>
            </w:r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  —  write worked hours</w:t>
            </w:r>
          </w:p>
          <w:p>
            <w:r>
              <w:rPr>
                <w:color w:val="7C5F38"/>
                <w:sz w:val="18"/>
                <w:szCs w:val="18"/>
                <w:rFonts w:ascii="Consolas" w:cs="Consolas" w:eastAsia="Consolas" w:hAnsi="Consolas"/>
              </w:rPr>
              <w:t xml:space="preserve">payroll.settings.read</w:t>
            </w:r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  —  read rates, leave types, calendar</w:t>
            </w:r>
          </w:p>
          <w:p>
            <w:r>
              <w:rPr>
                <w:color w:val="7C5F38"/>
                <w:sz w:val="18"/>
                <w:szCs w:val="18"/>
                <w:rFonts w:ascii="Consolas" w:cs="Consolas" w:eastAsia="Consolas" w:hAnsi="Consolas"/>
              </w:rPr>
              <w:t xml:space="preserve">accounting.settings.read</w:t>
            </w:r>
            <w:r>
              <w:rPr>
                <w:color w:val="565049"/>
                <w:sz w:val="18"/>
                <w:szCs w:val="18"/>
                <w:rFonts w:ascii="Calibri" w:cs="Calibri" w:eastAsia="Calibri" w:hAnsi="Calibri"/>
              </w:rPr>
              <w:t xml:space="preserve">  —  read job tracking</w:t>
            </w:r>
          </w:p>
        </w:tc>
      </w:tr>
    </w:tbl>
    <w:p>
      <w:pPr>
        <w:spacing w:after="260"/>
      </w:pPr>
    </w:p>
    <w:p>
      <w:pPr>
        <w:pBdr>
          <w:top w:val="single" w:color="E3DCD1" w:sz="4"/>
        </w:pBdr>
        <w:tabs>
          <w:tab w:val="right" w:pos="9026"/>
        </w:tabs>
        <w:spacing w:before="100"/>
      </w:pPr>
      <w:r>
        <w:rPr>
          <w:b/>
          <w:bCs/>
          <w:color w:val="565049"/>
          <w:sz w:val="16"/>
          <w:szCs w:val="16"/>
          <w:rFonts w:ascii="Calibri" w:cs="Calibri" w:eastAsia="Calibri" w:hAnsi="Calibri"/>
        </w:rPr>
        <w:t xml:space="preserve">Timevera</w:t>
      </w:r>
      <w:r>
        <w:rPr>
          <w:color w:val="8A8177"/>
          <w:sz w:val="16"/>
          <w:szCs w:val="16"/>
          <w:rFonts w:ascii="Calibri" w:cs="Calibri" w:eastAsia="Calibri" w:hAnsi="Calibri"/>
        </w:rPr>
        <w:t xml:space="preserve"> — Workforce time tracking</w:t>
      </w:r>
      <w:r>
        <w:rPr>
          <w:color w:val="8A8177"/>
          <w:sz w:val="16"/>
          <w:szCs w:val="16"/>
          <w:rFonts w:ascii="Calibri" w:cs="Calibri" w:eastAsia="Calibri" w:hAnsi="Calibri"/>
        </w:rPr>
        <w:t xml:space="preserve">	Prepared for Build One Design &amp; Construction · ARKO Joinery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C1A16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Timevera × Xero — Integration Status</dc:title>
  <dc:creator>Timevera</dc:creator>
  <cp:lastModifiedBy>Un-named</cp:lastModifiedBy>
  <cp:revision>1</cp:revision>
  <dcterms:created xsi:type="dcterms:W3CDTF">2026-08-31T20:00:11.426Z</dcterms:created>
  <dcterms:modified xsi:type="dcterms:W3CDTF">2026-08-31T20:00:11.427Z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