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475569"/>
          <w:sz w:val="20"/>
        </w:rPr>
        <w:t>UNIVERSIDAD LIBRE — FACULTAD DE INGENIERÍA</w:t>
        <w:br/>
        <w:t>PROGRAMA DE INGENIERÍA DE SISTEMAS</w:t>
        <w:br/>
        <w:t>CURSO: INGENIERÍA APLICADA</w:t>
      </w:r>
    </w:p>
    <w:p>
      <w:pPr>
        <w:spacing w:before="160" w:after="80"/>
        <w:jc w:val="center"/>
      </w:pPr>
      <w:r>
        <w:rPr>
          <w:rFonts w:ascii="Calibri" w:hAnsi="Calibri"/>
          <w:b/>
          <w:color w:val="065F46"/>
          <w:sz w:val="32"/>
        </w:rPr>
        <w:t>DOCUMENTACIÓN TÉCNICA Y GUÍA METODOLÓGICA:</w:t>
        <w:br/>
        <w:t>SIMULADOR DE ARQUITECTURAS DE SOFTWARE</w:t>
      </w:r>
    </w:p>
    <w:p>
      <w:pPr>
        <w:spacing w:before="0" w:after="240"/>
        <w:jc w:val="center"/>
      </w:pPr>
      <w:r>
        <w:rPr>
          <w:rFonts w:ascii="Calibri" w:hAnsi="Calibri"/>
          <w:i/>
          <w:color w:val="64748B"/>
          <w:sz w:val="22"/>
        </w:rPr>
        <w:t>Actividad 9: Modelado Matemático, Evaluación Multicriterio (MCDA-SAW), Frontera de Pareto 3D y Validación Isomorfa sobre el Proyecto EnRuta (Bogotá D.C.)</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none"/>
              <w:left w:val="single" w:sz="36" w:space="0" w:color="10B981"/>
              <w:bottom w:val="none"/>
              <w:right w:val="none"/>
            </w:tcBorders>
          </w:tcPr>
          <w:p>
            <w:pPr>
              <w:spacing w:before="40" w:after="40" w:line="288" w:lineRule="auto"/>
            </w:pPr>
            <w:r>
              <w:rPr>
                <w:b/>
                <w:color w:val="065F46"/>
                <w:sz w:val="21"/>
              </w:rPr>
              <w:t>🌐 ENLACE AL SIMULADOR EN LÍNEA (GITHUB PAGES):</w:t>
              <w:br/>
            </w:r>
            <w:r>
              <w:rPr>
                <w:b/>
                <w:color w:val="10B981"/>
                <w:sz w:val="22"/>
              </w:rPr>
              <w:t>https://teach1030.github.io/EnRuta/</w:t>
              <w:br/>
            </w:r>
            <w:r>
              <w:rPr>
                <w:color w:val="1E293B"/>
                <w:sz w:val="19"/>
              </w:rPr>
              <w:t>• Ingenieros Autores: Juan Esteban Guerrero Vera, Santiago Casas Barreto, Jose Sebastian Villalba</w:t>
              <w:br/>
              <w:t>• Sistema Objeto de Estudio: EnRuta — Optimización Logística de Última Milla (Bogotá D.C.)</w:t>
              <w:br/>
              <w:t>• Repositorio Oficial GitHub: https://github.com/teach1030/EnRuta</w:t>
              <w:br/>
              <w:t>• Versión del Motor Matemático: v1.0.0 (FastAPI 0.115 + TypeScript Client Engine Espejo)</w:t>
            </w:r>
          </w:p>
        </w:tc>
      </w:tr>
    </w:tbl>
    <w:p/>
    <w:p>
      <w:pPr>
        <w:pStyle w:val="Heading1"/>
      </w:pPr>
      <w:r>
        <w:rPr>
          <w:rFonts w:ascii="Calibri" w:hAnsi="Calibri"/>
          <w:color w:val="065F46"/>
          <w:sz w:val="26"/>
        </w:rPr>
        <w:t>1. Descripción del Modelo y Contexto del Proyecto EnRuta</w:t>
      </w:r>
    </w:p>
    <w:p>
      <w:r>
        <w:t>El presente simulador de software fue diseñado para modelar, evaluar y comparar de manera analítica y reproducible cuatro arquitecturas de software contemporáneas aplicadas a un sistema real de producción: EnRuta. EnRuta es una plataforma desarrollada a lo largo del curso para solucionar los cuellos de botella críticos en la logística de distribución de paquetes y mercancías en Bogotá D.C., Colombia.</w:t>
      </w:r>
    </w:p>
    <w:p>
      <w:r>
        <w:t>La operación real de EnRuta se caracteriza por tres cargas computacionales heterogéneas concurrentes:</w:t>
      </w:r>
    </w:p>
    <w:p>
      <w:pPr>
        <w:pStyle w:val="ListBullet"/>
      </w:pPr>
      <w:r>
        <w:t>1. Carga Intensiva de Visión Artificial (E/S y Red): Durante la ventana matutina de cargue en bodegas (6:00 a.m. a 8:00 a.m.), los conductores escanean guías de transporte heterogéneas (Servientrega, Coordinadora, Interrapidísimo, iMile, etc.) mediante OCR multimodal (Google Gemini Vision / ML Kit).</w:t>
      </w:r>
    </w:p>
    <w:p>
      <w:pPr>
        <w:pStyle w:val="ListBullet"/>
      </w:pPr>
      <w:r>
        <w:t>2. Carga Transaccional Urbana (CRUD y Filtros): Normalización de nomenclatura bogotana (Calles, Carreras, Diagonales, Transversales, Torres y Apartamentos) y actualización en ruta de entregas multi-cliente asociadas a una misma portería residencial (StopClient en relación 1:N con Stop).</w:t>
      </w:r>
    </w:p>
    <w:p>
      <w:pPr>
        <w:pStyle w:val="ListBullet"/>
      </w:pPr>
      <w:r>
        <w:t>3. Carga Algorítmica Combinatoria (CPU pura): Optimización de la secuencia de reparto mediante el problema del Viajante de Comercio Abierto (Open TSP) resuelto en C++ con Google OR-Tools sobre matrices de distancia geodésica Haversine de complejidad O(N_p^2).</w:t>
      </w:r>
    </w:p>
    <w:p>
      <w:r>
        <w:t>Para garantizar un análisis riguroso y no sesgado, el simulador compara cuatro alternativas de arquitectura que resuelven exactamente los mismos requerimientos funcionales pero difieren en su estrategia de aislamiento de procesos, ubicación del cómputo y modelo de aprovisionamiento:</w:t>
      </w:r>
    </w:p>
    <w:tbl>
      <w:tblPr>
        <w:tblW w:type="auto" w:w="0"/>
        <w:jc w:val="center"/>
        <w:tblLook w:firstColumn="1" w:firstRow="1" w:lastColumn="0" w:lastRow="0" w:noHBand="0" w:noVBand="1" w:val="04A0"/>
        <w:tblBorders>
          <w:top w:val="single" w:sz="6" w:space="0" w:color="CBD5E1"/>
          <w:left w:val="none"/>
          <w:bottom w:val="single" w:sz="12" w:space="0" w:color="CBD5E1"/>
          <w:right w:val="none"/>
          <w:insideH w:val="single" w:sz="4" w:space="0" w:color="CBD5E1"/>
          <w:insideV w:val="none"/>
        </w:tblBorders>
      </w:tblPr>
      <w:tblGrid>
        <w:gridCol w:w="3120"/>
        <w:gridCol w:w="3120"/>
        <w:gridCol w:w="3120"/>
      </w:tblGrid>
      <w:tr>
        <w:tc>
          <w:tcPr>
            <w:tcW w:type="dxa" w:w="2592"/>
            <w:shd w:fill="065F46"/>
            <w:tcMar>
              <w:top w:w="120" w:type="dxa"/>
              <w:bottom w:w="120" w:type="dxa"/>
              <w:left w:w="120" w:type="dxa"/>
              <w:right w:w="120" w:type="dxa"/>
            </w:tcMar>
          </w:tcPr>
          <w:p>
            <w:pPr>
              <w:spacing w:before="40" w:after="40"/>
              <w:jc w:val="left"/>
            </w:pPr>
            <w:r>
              <w:rPr>
                <w:rFonts w:ascii="Calibri" w:hAnsi="Calibri"/>
                <w:b/>
                <w:color w:val="FFFFFF"/>
                <w:sz w:val="19"/>
              </w:rPr>
              <w:t>Arquitectura Candidata</w:t>
            </w:r>
          </w:p>
        </w:tc>
        <w:tc>
          <w:tcPr>
            <w:tcW w:type="dxa" w:w="1728"/>
            <w:shd w:fill="065F46"/>
            <w:tcMar>
              <w:top w:w="120" w:type="dxa"/>
              <w:bottom w:w="120" w:type="dxa"/>
              <w:left w:w="120" w:type="dxa"/>
              <w:right w:w="120" w:type="dxa"/>
            </w:tcMar>
          </w:tcPr>
          <w:p>
            <w:pPr>
              <w:spacing w:before="40" w:after="40"/>
              <w:jc w:val="center"/>
            </w:pPr>
            <w:r>
              <w:rPr>
                <w:rFonts w:ascii="Calibri" w:hAnsi="Calibri"/>
                <w:b/>
                <w:color w:val="FFFFFF"/>
                <w:sz w:val="19"/>
              </w:rPr>
              <w:t>Topología</w:t>
            </w:r>
          </w:p>
        </w:tc>
        <w:tc>
          <w:tcPr>
            <w:tcW w:type="dxa" w:w="5040"/>
            <w:shd w:fill="065F46"/>
            <w:tcMar>
              <w:top w:w="120" w:type="dxa"/>
              <w:bottom w:w="120" w:type="dxa"/>
              <w:left w:w="120" w:type="dxa"/>
              <w:right w:w="120" w:type="dxa"/>
            </w:tcMar>
          </w:tcPr>
          <w:p>
            <w:pPr>
              <w:spacing w:before="40" w:after="40"/>
              <w:jc w:val="left"/>
            </w:pPr>
            <w:r>
              <w:rPr>
                <w:rFonts w:ascii="Calibri" w:hAnsi="Calibri"/>
                <w:b/>
                <w:color w:val="FFFFFF"/>
                <w:sz w:val="19"/>
              </w:rPr>
              <w:t>Mapeo Técnico en EnRuta</w:t>
            </w:r>
          </w:p>
        </w:tc>
      </w:tr>
      <w:tr>
        <w:tc>
          <w:tcPr>
            <w:tcW w:type="dxa" w:w="2592"/>
            <w:shd w:fill="FFFFFF"/>
            <w:tcMar>
              <w:top w:w="90" w:type="dxa"/>
              <w:bottom w:w="90" w:type="dxa"/>
              <w:left w:w="120" w:type="dxa"/>
              <w:right w:w="120" w:type="dxa"/>
            </w:tcMar>
          </w:tcPr>
          <w:p>
            <w:pPr>
              <w:spacing w:before="20" w:after="20" w:line="264" w:lineRule="auto"/>
              <w:jc w:val="left"/>
            </w:pPr>
            <w:r>
              <w:rPr>
                <w:rFonts w:ascii="Calibri" w:hAnsi="Calibri"/>
                <w:color w:val="1E293B"/>
                <w:sz w:val="18"/>
              </w:rPr>
              <w:t>1. MONO_MVP</w:t>
              <w:br/>
              <w:t>(Monolito Ligero VPS)</w:t>
            </w:r>
          </w:p>
        </w:tc>
        <w:tc>
          <w:tcPr>
            <w:tcW w:type="dxa" w:w="1728"/>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Host Único VM</w:t>
              <w:br/>
              <w:t>(0 contenedores)</w:t>
            </w:r>
          </w:p>
        </w:tc>
        <w:tc>
          <w:tcPr>
            <w:tcW w:type="dxa" w:w="5040"/>
            <w:shd w:fill="FFFFFF"/>
            <w:tcMar>
              <w:top w:w="90" w:type="dxa"/>
              <w:bottom w:w="90" w:type="dxa"/>
              <w:left w:w="120" w:type="dxa"/>
              <w:right w:w="120" w:type="dxa"/>
            </w:tcMar>
          </w:tcPr>
          <w:p>
            <w:pPr>
              <w:spacing w:before="20" w:after="20" w:line="264" w:lineRule="auto"/>
              <w:jc w:val="left"/>
            </w:pPr>
            <w:r>
              <w:rPr>
                <w:rFonts w:ascii="Calibri" w:hAnsi="Calibri"/>
                <w:color w:val="1E293B"/>
                <w:sz w:val="18"/>
              </w:rPr>
              <w:t>FastAPI ejecutando in-process autenticación, paradas, OCR síncrono y OR-Tools sobre PostgreSQL 16. Arquitectura actual en desarrollo.</w:t>
            </w:r>
          </w:p>
        </w:tc>
      </w:tr>
      <w:tr>
        <w:tc>
          <w:tcPr>
            <w:tcW w:type="dxa" w:w="2592"/>
            <w:shd w:fill="F8FAFC"/>
            <w:tcMar>
              <w:top w:w="90" w:type="dxa"/>
              <w:bottom w:w="90" w:type="dxa"/>
              <w:left w:w="120" w:type="dxa"/>
              <w:right w:w="120" w:type="dxa"/>
            </w:tcMar>
          </w:tcPr>
          <w:p>
            <w:pPr>
              <w:spacing w:before="20" w:after="20" w:line="264" w:lineRule="auto"/>
              <w:jc w:val="left"/>
            </w:pPr>
            <w:r>
              <w:rPr>
                <w:rFonts w:ascii="Calibri" w:hAnsi="Calibri"/>
                <w:color w:val="1E293B"/>
                <w:sz w:val="18"/>
              </w:rPr>
              <w:t>2. MONO_ASYNC_CONTAINER</w:t>
              <w:br/>
              <w:t>(Monolito + Workers)</w:t>
            </w:r>
          </w:p>
        </w:tc>
        <w:tc>
          <w:tcPr>
            <w:tcW w:type="dxa" w:w="1728"/>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Docker Compose</w:t>
              <w:br/>
              <w:t>(3 contenedores)</w:t>
            </w:r>
          </w:p>
        </w:tc>
        <w:tc>
          <w:tcPr>
            <w:tcW w:type="dxa" w:w="5040"/>
            <w:shd w:fill="F8FAFC"/>
            <w:tcMar>
              <w:top w:w="90" w:type="dxa"/>
              <w:bottom w:w="90" w:type="dxa"/>
              <w:left w:w="120" w:type="dxa"/>
              <w:right w:w="120" w:type="dxa"/>
            </w:tcMar>
          </w:tcPr>
          <w:p>
            <w:pPr>
              <w:spacing w:before="20" w:after="20" w:line="264" w:lineRule="auto"/>
              <w:jc w:val="left"/>
            </w:pPr>
            <w:r>
              <w:rPr>
                <w:rFonts w:ascii="Calibri" w:hAnsi="Calibri"/>
                <w:color w:val="1E293B"/>
                <w:sz w:val="18"/>
              </w:rPr>
              <w:t>Contenedor de API HTTP desacoplado de workers en segundo plano para OCR y OR-Tools mediante cola en memoria Redis.</w:t>
            </w:r>
          </w:p>
        </w:tc>
      </w:tr>
      <w:tr>
        <w:tc>
          <w:tcPr>
            <w:tcW w:type="dxa" w:w="2592"/>
            <w:shd w:fill="FFFFFF"/>
            <w:tcMar>
              <w:top w:w="90" w:type="dxa"/>
              <w:bottom w:w="90" w:type="dxa"/>
              <w:left w:w="120" w:type="dxa"/>
              <w:right w:w="120" w:type="dxa"/>
            </w:tcMar>
          </w:tcPr>
          <w:p>
            <w:pPr>
              <w:spacing w:before="20" w:after="20" w:line="264" w:lineRule="auto"/>
              <w:jc w:val="left"/>
            </w:pPr>
            <w:r>
              <w:rPr>
                <w:rFonts w:ascii="Calibri" w:hAnsi="Calibri"/>
                <w:color w:val="1E293B"/>
                <w:sz w:val="18"/>
              </w:rPr>
              <w:t>3. MICRO_DOCKER</w:t>
              <w:br/>
              <w:t>(Microservicios Docker)</w:t>
            </w:r>
          </w:p>
        </w:tc>
        <w:tc>
          <w:tcPr>
            <w:tcW w:type="dxa" w:w="1728"/>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Clúster Contenerizado</w:t>
              <w:br/>
              <w:t>(5 contenedores)</w:t>
            </w:r>
          </w:p>
        </w:tc>
        <w:tc>
          <w:tcPr>
            <w:tcW w:type="dxa" w:w="5040"/>
            <w:shd w:fill="FFFFFF"/>
            <w:tcMar>
              <w:top w:w="90" w:type="dxa"/>
              <w:bottom w:w="90" w:type="dxa"/>
              <w:left w:w="120" w:type="dxa"/>
              <w:right w:w="120" w:type="dxa"/>
            </w:tcMar>
          </w:tcPr>
          <w:p>
            <w:pPr>
              <w:spacing w:before="20" w:after="20" w:line="264" w:lineRule="auto"/>
              <w:jc w:val="left"/>
            </w:pPr>
            <w:r>
              <w:rPr>
                <w:rFonts w:ascii="Calibri" w:hAnsi="Calibri"/>
                <w:color w:val="1E293B"/>
                <w:sz w:val="18"/>
              </w:rPr>
              <w:t>Nginx API Gateway enrutando hacia ms-auth-drivers, ms-stops-bogota, ms-ocr-vision y ms-tsp-ortools dedicados con aislamiento de red.</w:t>
            </w:r>
          </w:p>
        </w:tc>
      </w:tr>
      <w:tr>
        <w:tc>
          <w:tcPr>
            <w:tcW w:type="dxa" w:w="2592"/>
            <w:shd w:fill="F8FAFC"/>
            <w:tcMar>
              <w:top w:w="90" w:type="dxa"/>
              <w:bottom w:w="90" w:type="dxa"/>
              <w:left w:w="120" w:type="dxa"/>
              <w:right w:w="120" w:type="dxa"/>
            </w:tcMar>
          </w:tcPr>
          <w:p>
            <w:pPr>
              <w:spacing w:before="20" w:after="20" w:line="264" w:lineRule="auto"/>
              <w:jc w:val="left"/>
            </w:pPr>
            <w:r>
              <w:rPr>
                <w:rFonts w:ascii="Calibri" w:hAnsi="Calibri"/>
                <w:color w:val="1E293B"/>
                <w:sz w:val="18"/>
              </w:rPr>
              <w:t>4. HYBRID_EDGE_SERVERLESS</w:t>
              <w:br/>
              <w:t>(Edge ML Kit + FaaS)</w:t>
            </w:r>
          </w:p>
        </w:tc>
        <w:tc>
          <w:tcPr>
            <w:tcW w:type="dxa" w:w="1728"/>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Híbrida Borde/Cloud</w:t>
              <w:br/>
              <w:t>(Scale-to-Zero)</w:t>
            </w:r>
          </w:p>
        </w:tc>
        <w:tc>
          <w:tcPr>
            <w:tcW w:type="dxa" w:w="5040"/>
            <w:shd w:fill="F8FAFC"/>
            <w:tcMar>
              <w:top w:w="90" w:type="dxa"/>
              <w:bottom w:w="90" w:type="dxa"/>
              <w:left w:w="120" w:type="dxa"/>
              <w:right w:w="120" w:type="dxa"/>
            </w:tcMar>
          </w:tcPr>
          <w:p>
            <w:pPr>
              <w:spacing w:before="20" w:after="20" w:line="264" w:lineRule="auto"/>
              <w:jc w:val="left"/>
            </w:pPr>
            <w:r>
              <w:rPr>
                <w:rFonts w:ascii="Calibri" w:hAnsi="Calibri"/>
                <w:color w:val="1E293B"/>
                <w:sz w:val="18"/>
              </w:rPr>
              <w:t>85% del OCR resuelto localmente en el móvil con Google ML Kit on-device; backend en Cloud Run efímero y PostgreSQL serverless.</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065F46"/>
              <w:bottom w:val="none"/>
              <w:right w:val="none"/>
            </w:tcBorders>
          </w:tcPr>
          <w:p>
            <w:pPr>
              <w:spacing w:before="40" w:after="60" w:line="276" w:lineRule="auto"/>
            </w:pPr>
            <w:r>
              <w:rPr>
                <w:rFonts w:ascii="Calibri" w:hAnsi="Calibri"/>
                <w:b/>
                <w:color w:val="065F46"/>
                <w:sz w:val="20"/>
              </w:rPr>
              <w:t xml:space="preserve">📌 FUNDAMENTACIÓN CIENTÍFICA: </w:t>
            </w:r>
            <w:r>
              <w:rPr>
                <w:rFonts w:ascii="Calibri" w:hAnsi="Calibri"/>
                <w:color w:val="1E293B"/>
                <w:sz w:val="19"/>
              </w:rPr>
              <w:t>Todas las fórmulas y constantes del simulador fueron calibradas con base en cuatro publicaciones científicas arbitradas: Sunardi &amp; Suharjito (2019, Procedia CS), Tapia et al. (2020, Applied Sciences), Blinowski, Ojdowska &amp; Przybyłek (2022, IEEE Access) y Al-Debagy &amp; Martinek (2018, IEEE CINTI).</w:t>
            </w:r>
          </w:p>
        </w:tc>
      </w:tr>
    </w:tbl>
    <w:p>
      <w:pPr>
        <w:spacing w:before="0" w:after="80"/>
      </w:pPr>
    </w:p>
    <w:p>
      <w:pPr>
        <w:pStyle w:val="Heading1"/>
      </w:pPr>
      <w:r>
        <w:rPr>
          <w:rFonts w:ascii="Calibri" w:hAnsi="Calibri"/>
          <w:color w:val="065F46"/>
          <w:sz w:val="26"/>
        </w:rPr>
        <w:t>2. Definición y Justificación de las Variables del Simulador</w:t>
      </w:r>
    </w:p>
    <w:p>
      <w:r>
        <w:t>El simulador expone dos grupos de variables plenamente configurables: las variables de carga operativa (SimulationInput) que describen la demanda física sobre el sistema logístico, y las variables de perfil del proyecto (ProjectConfig) que fijan las restricciones no funcionales y los pesos del modelo de decisión.</w:t>
      </w:r>
    </w:p>
    <w:p>
      <w:pPr>
        <w:pStyle w:val="Heading2"/>
      </w:pPr>
      <w:r>
        <w:rPr>
          <w:rFonts w:ascii="Calibri" w:hAnsi="Calibri"/>
          <w:color w:val="0F172A"/>
          <w:sz w:val="23"/>
        </w:rPr>
        <w:t>2.1 Variables Dinámicas de Carga e Ingreso (SimulationInput)</w:t>
      </w:r>
    </w:p>
    <w:tbl>
      <w:tblPr>
        <w:tblW w:type="auto" w:w="0"/>
        <w:jc w:val="center"/>
        <w:tblLook w:firstColumn="1" w:firstRow="1" w:lastColumn="0" w:lastRow="0" w:noHBand="0" w:noVBand="1" w:val="04A0"/>
        <w:tblBorders>
          <w:top w:val="single" w:sz="6" w:space="0" w:color="CBD5E1"/>
          <w:left w:val="none"/>
          <w:bottom w:val="single" w:sz="12" w:space="0" w:color="CBD5E1"/>
          <w:right w:val="none"/>
          <w:insideH w:val="single" w:sz="4" w:space="0" w:color="CBD5E1"/>
          <w:insideV w:val="none"/>
        </w:tblBorders>
      </w:tblPr>
      <w:tblGrid>
        <w:gridCol w:w="1872"/>
        <w:gridCol w:w="1872"/>
        <w:gridCol w:w="1872"/>
        <w:gridCol w:w="1872"/>
        <w:gridCol w:w="1872"/>
      </w:tblGrid>
      <w:tr>
        <w:tc>
          <w:tcPr>
            <w:tcW w:type="dxa" w:w="1152"/>
            <w:shd w:fill="065F46"/>
            <w:tcMar>
              <w:top w:w="120" w:type="dxa"/>
              <w:bottom w:w="120" w:type="dxa"/>
              <w:left w:w="120" w:type="dxa"/>
              <w:right w:w="120" w:type="dxa"/>
            </w:tcMar>
          </w:tcPr>
          <w:p>
            <w:pPr>
              <w:spacing w:before="40" w:after="40"/>
              <w:jc w:val="center"/>
            </w:pPr>
            <w:r>
              <w:rPr>
                <w:rFonts w:ascii="Calibri" w:hAnsi="Calibri"/>
                <w:b/>
                <w:color w:val="FFFFFF"/>
                <w:sz w:val="19"/>
              </w:rPr>
              <w:t>Símbolo</w:t>
            </w:r>
          </w:p>
        </w:tc>
        <w:tc>
          <w:tcPr>
            <w:tcW w:type="dxa" w:w="2016"/>
            <w:shd w:fill="065F46"/>
            <w:tcMar>
              <w:top w:w="120" w:type="dxa"/>
              <w:bottom w:w="120" w:type="dxa"/>
              <w:left w:w="120" w:type="dxa"/>
              <w:right w:w="120" w:type="dxa"/>
            </w:tcMar>
          </w:tcPr>
          <w:p>
            <w:pPr>
              <w:spacing w:before="40" w:after="40"/>
              <w:jc w:val="left"/>
            </w:pPr>
            <w:r>
              <w:rPr>
                <w:rFonts w:ascii="Calibri" w:hAnsi="Calibri"/>
                <w:b/>
                <w:color w:val="FFFFFF"/>
                <w:sz w:val="19"/>
              </w:rPr>
              <w:t>Variable en Sistema</w:t>
            </w:r>
          </w:p>
        </w:tc>
        <w:tc>
          <w:tcPr>
            <w:tcW w:type="dxa" w:w="1296"/>
            <w:shd w:fill="065F46"/>
            <w:tcMar>
              <w:top w:w="120" w:type="dxa"/>
              <w:bottom w:w="120" w:type="dxa"/>
              <w:left w:w="120" w:type="dxa"/>
              <w:right w:w="120" w:type="dxa"/>
            </w:tcMar>
          </w:tcPr>
          <w:p>
            <w:pPr>
              <w:spacing w:before="40" w:after="40"/>
              <w:jc w:val="center"/>
            </w:pPr>
            <w:r>
              <w:rPr>
                <w:rFonts w:ascii="Calibri" w:hAnsi="Calibri"/>
                <w:b/>
                <w:color w:val="FFFFFF"/>
                <w:sz w:val="19"/>
              </w:rPr>
              <w:t>Rango</w:t>
            </w:r>
          </w:p>
        </w:tc>
        <w:tc>
          <w:tcPr>
            <w:tcW w:type="dxa" w:w="1152"/>
            <w:shd w:fill="065F46"/>
            <w:tcMar>
              <w:top w:w="120" w:type="dxa"/>
              <w:bottom w:w="120" w:type="dxa"/>
              <w:left w:w="120" w:type="dxa"/>
              <w:right w:w="120" w:type="dxa"/>
            </w:tcMar>
          </w:tcPr>
          <w:p>
            <w:pPr>
              <w:spacing w:before="40" w:after="40"/>
              <w:jc w:val="center"/>
            </w:pPr>
            <w:r>
              <w:rPr>
                <w:rFonts w:ascii="Calibri" w:hAnsi="Calibri"/>
                <w:b/>
                <w:color w:val="FFFFFF"/>
                <w:sz w:val="19"/>
              </w:rPr>
              <w:t>Base</w:t>
            </w:r>
          </w:p>
        </w:tc>
        <w:tc>
          <w:tcPr>
            <w:tcW w:type="dxa" w:w="3744"/>
            <w:shd w:fill="065F46"/>
            <w:tcMar>
              <w:top w:w="120" w:type="dxa"/>
              <w:bottom w:w="120" w:type="dxa"/>
              <w:left w:w="120" w:type="dxa"/>
              <w:right w:w="120" w:type="dxa"/>
            </w:tcMar>
          </w:tcPr>
          <w:p>
            <w:pPr>
              <w:spacing w:before="40" w:after="40"/>
              <w:jc w:val="left"/>
            </w:pPr>
            <w:r>
              <w:rPr>
                <w:rFonts w:ascii="Calibri" w:hAnsi="Calibri"/>
                <w:b/>
                <w:color w:val="FFFFFF"/>
                <w:sz w:val="19"/>
              </w:rPr>
              <w:t>Impacto y Justificación en EnRuta</w:t>
            </w:r>
          </w:p>
        </w:tc>
      </w:tr>
      <w:tr>
        <w:tc>
          <w:tcPr>
            <w:tcW w:type="dxa" w:w="1152"/>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U</w:t>
            </w:r>
          </w:p>
        </w:tc>
        <w:tc>
          <w:tcPr>
            <w:tcW w:type="dxa" w:w="2016"/>
            <w:shd w:fill="FFFFFF"/>
            <w:tcMar>
              <w:top w:w="90" w:type="dxa"/>
              <w:bottom w:w="90" w:type="dxa"/>
              <w:left w:w="120" w:type="dxa"/>
              <w:right w:w="120" w:type="dxa"/>
            </w:tcMar>
          </w:tcPr>
          <w:p>
            <w:pPr>
              <w:spacing w:before="20" w:after="20" w:line="264" w:lineRule="auto"/>
              <w:jc w:val="left"/>
            </w:pPr>
            <w:r>
              <w:rPr>
                <w:rFonts w:ascii="Calibri" w:hAnsi="Calibri"/>
                <w:color w:val="1E293B"/>
                <w:sz w:val="18"/>
              </w:rPr>
              <w:t>Conductores Concurrentes</w:t>
              <w:br/>
              <w:t>(concurrent_drivers)</w:t>
            </w:r>
          </w:p>
        </w:tc>
        <w:tc>
          <w:tcPr>
            <w:tcW w:type="dxa" w:w="1296"/>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[1, 5000]</w:t>
            </w:r>
          </w:p>
        </w:tc>
        <w:tc>
          <w:tcPr>
            <w:tcW w:type="dxa" w:w="1152"/>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35</w:t>
            </w:r>
          </w:p>
        </w:tc>
        <w:tc>
          <w:tcPr>
            <w:tcW w:type="dxa" w:w="374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Número de mensajeros urbanos activos en la ventana pico matutina W=1800 s. Determina la tasa global de solicitudes entrantes.</w:t>
            </w:r>
          </w:p>
        </w:tc>
      </w:tr>
      <w:tr>
        <w:tc>
          <w:tcPr>
            <w:tcW w:type="dxa" w:w="1152"/>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G</w:t>
            </w:r>
          </w:p>
        </w:tc>
        <w:tc>
          <w:tcPr>
            <w:tcW w:type="dxa" w:w="2016"/>
            <w:shd w:fill="F8FAFC"/>
            <w:tcMar>
              <w:top w:w="90" w:type="dxa"/>
              <w:bottom w:w="90" w:type="dxa"/>
              <w:left w:w="120" w:type="dxa"/>
              <w:right w:w="120" w:type="dxa"/>
            </w:tcMar>
          </w:tcPr>
          <w:p>
            <w:pPr>
              <w:spacing w:before="20" w:after="20" w:line="264" w:lineRule="auto"/>
              <w:jc w:val="left"/>
            </w:pPr>
            <w:r>
              <w:rPr>
                <w:rFonts w:ascii="Calibri" w:hAnsi="Calibri"/>
                <w:color w:val="1E293B"/>
                <w:sz w:val="18"/>
              </w:rPr>
              <w:t>Guías OCR por Conductor</w:t>
              <w:br/>
              <w:t>(ocr_guides_per_driver)</w:t>
            </w:r>
          </w:p>
        </w:tc>
        <w:tc>
          <w:tcPr>
            <w:tcW w:type="dxa" w:w="1296"/>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 150]</w:t>
            </w:r>
          </w:p>
        </w:tc>
        <w:tc>
          <w:tcPr>
            <w:tcW w:type="dxa" w:w="1152"/>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30</w:t>
            </w:r>
          </w:p>
        </w:tc>
        <w:tc>
          <w:tcPr>
            <w:tcW w:type="dxa" w:w="374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Etiquetas impresas que cada conductor fotografía en bodega para su alistamiento. Controla la presión de ancho de banda y costo de la API OCR.</w:t>
            </w:r>
          </w:p>
        </w:tc>
      </w:tr>
      <w:tr>
        <w:tc>
          <w:tcPr>
            <w:tcW w:type="dxa" w:w="1152"/>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N_p</w:t>
            </w:r>
          </w:p>
        </w:tc>
        <w:tc>
          <w:tcPr>
            <w:tcW w:type="dxa" w:w="2016"/>
            <w:shd w:fill="FFFFFF"/>
            <w:tcMar>
              <w:top w:w="90" w:type="dxa"/>
              <w:bottom w:w="90" w:type="dxa"/>
              <w:left w:w="120" w:type="dxa"/>
              <w:right w:w="120" w:type="dxa"/>
            </w:tcMar>
          </w:tcPr>
          <w:p>
            <w:pPr>
              <w:spacing w:before="20" w:after="20" w:line="264" w:lineRule="auto"/>
              <w:jc w:val="left"/>
            </w:pPr>
            <w:r>
              <w:rPr>
                <w:rFonts w:ascii="Calibri" w:hAnsi="Calibri"/>
                <w:color w:val="1E293B"/>
                <w:sz w:val="18"/>
              </w:rPr>
              <w:t>Paradas por Ruta</w:t>
              <w:br/>
              <w:t>(stops_per_route)</w:t>
            </w:r>
          </w:p>
        </w:tc>
        <w:tc>
          <w:tcPr>
            <w:tcW w:type="dxa" w:w="1296"/>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[2, 150]</w:t>
            </w:r>
          </w:p>
        </w:tc>
        <w:tc>
          <w:tcPr>
            <w:tcW w:type="dxa" w:w="1152"/>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30</w:t>
            </w:r>
          </w:p>
        </w:tc>
        <w:tc>
          <w:tcPr>
            <w:tcW w:type="dxa" w:w="374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Destinos geográficos a ordenar. Afecta exponencialmente el cálculo de la matriz Haversine y la resolución del TSP en Google OR-Tools.</w:t>
            </w:r>
          </w:p>
        </w:tc>
      </w:tr>
      <w:tr>
        <w:tc>
          <w:tcPr>
            <w:tcW w:type="dxa" w:w="1152"/>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I</w:t>
            </w:r>
          </w:p>
        </w:tc>
        <w:tc>
          <w:tcPr>
            <w:tcW w:type="dxa" w:w="2016"/>
            <w:shd w:fill="F8FAFC"/>
            <w:tcMar>
              <w:top w:w="90" w:type="dxa"/>
              <w:bottom w:w="90" w:type="dxa"/>
              <w:left w:w="120" w:type="dxa"/>
              <w:right w:w="120" w:type="dxa"/>
            </w:tcMar>
          </w:tcPr>
          <w:p>
            <w:pPr>
              <w:spacing w:before="20" w:after="20" w:line="264" w:lineRule="auto"/>
              <w:jc w:val="left"/>
            </w:pPr>
            <w:r>
              <w:rPr>
                <w:rFonts w:ascii="Calibri" w:hAnsi="Calibri"/>
                <w:color w:val="1E293B"/>
                <w:sz w:val="18"/>
              </w:rPr>
              <w:t>Instancias de Cómputo</w:t>
              <w:br/>
              <w:t>(compute_instances)</w:t>
            </w:r>
          </w:p>
        </w:tc>
        <w:tc>
          <w:tcPr>
            <w:tcW w:type="dxa" w:w="1296"/>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 20]</w:t>
            </w:r>
          </w:p>
        </w:tc>
        <w:tc>
          <w:tcPr>
            <w:tcW w:type="dxa" w:w="1152"/>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w:t>
            </w:r>
          </w:p>
        </w:tc>
        <w:tc>
          <w:tcPr>
            <w:tcW w:type="dxa" w:w="374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Réplicas de procesamiento asignadas. Permite observar el beneficio del escalado horizontal y la saturación por coordinación inter-nodo para I &gt; 6.</w:t>
            </w:r>
          </w:p>
        </w:tc>
      </w:tr>
      <w:tr>
        <w:tc>
          <w:tcPr>
            <w:tcW w:type="dxa" w:w="1152"/>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F_crud</w:t>
            </w:r>
          </w:p>
        </w:tc>
        <w:tc>
          <w:tcPr>
            <w:tcW w:type="dxa" w:w="2016"/>
            <w:shd w:fill="FFFFFF"/>
            <w:tcMar>
              <w:top w:w="90" w:type="dxa"/>
              <w:bottom w:w="90" w:type="dxa"/>
              <w:left w:w="120" w:type="dxa"/>
              <w:right w:w="120" w:type="dxa"/>
            </w:tcMar>
          </w:tcPr>
          <w:p>
            <w:pPr>
              <w:spacing w:before="20" w:after="20" w:line="264" w:lineRule="auto"/>
              <w:jc w:val="left"/>
            </w:pPr>
            <w:r>
              <w:rPr>
                <w:rFonts w:ascii="Calibri" w:hAnsi="Calibri"/>
                <w:color w:val="1E293B"/>
                <w:sz w:val="18"/>
              </w:rPr>
              <w:t>Frecuencia Operaciones CRUD</w:t>
              <w:br/>
              <w:t>(crud_ops_per_min)</w:t>
            </w:r>
          </w:p>
        </w:tc>
        <w:tc>
          <w:tcPr>
            <w:tcW w:type="dxa" w:w="1296"/>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[0.5, 60.0]</w:t>
            </w:r>
          </w:p>
        </w:tc>
        <w:tc>
          <w:tcPr>
            <w:tcW w:type="dxa" w:w="1152"/>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6.0</w:t>
            </w:r>
          </w:p>
        </w:tc>
        <w:tc>
          <w:tcPr>
            <w:tcW w:type="dxa" w:w="374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Consultas y confirmaciones de entrega (swipes por portería) que cada conductor realiza por minuto durante su recorrido.</w:t>
            </w:r>
          </w:p>
        </w:tc>
      </w:tr>
    </w:tbl>
    <w:p/>
    <w:p>
      <w:pPr>
        <w:pStyle w:val="Heading2"/>
      </w:pPr>
      <w:r>
        <w:rPr>
          <w:rFonts w:ascii="Calibri" w:hAnsi="Calibri"/>
          <w:color w:val="0F172A"/>
          <w:sz w:val="23"/>
        </w:rPr>
        <w:t>2.2 Restricciones del Proyecto y Pesos de Decisión (ProjectConfig)</w:t>
      </w:r>
    </w:p>
    <w:tbl>
      <w:tblPr>
        <w:tblW w:type="auto" w:w="0"/>
        <w:jc w:val="center"/>
        <w:tblLook w:firstColumn="1" w:firstRow="1" w:lastColumn="0" w:lastRow="0" w:noHBand="0" w:noVBand="1" w:val="04A0"/>
        <w:tblBorders>
          <w:top w:val="single" w:sz="6" w:space="0" w:color="CBD5E1"/>
          <w:left w:val="none"/>
          <w:bottom w:val="single" w:sz="12" w:space="0" w:color="CBD5E1"/>
          <w:right w:val="none"/>
          <w:insideH w:val="single" w:sz="4" w:space="0" w:color="CBD5E1"/>
          <w:insideV w:val="none"/>
        </w:tblBorders>
      </w:tblPr>
      <w:tblGrid>
        <w:gridCol w:w="2340"/>
        <w:gridCol w:w="2340"/>
        <w:gridCol w:w="2340"/>
        <w:gridCol w:w="2340"/>
      </w:tblGrid>
      <w:tr>
        <w:tc>
          <w:tcPr>
            <w:tcW w:type="dxa" w:w="1440"/>
            <w:shd w:fill="065F46"/>
            <w:tcMar>
              <w:top w:w="120" w:type="dxa"/>
              <w:bottom w:w="120" w:type="dxa"/>
              <w:left w:w="120" w:type="dxa"/>
              <w:right w:w="120" w:type="dxa"/>
            </w:tcMar>
          </w:tcPr>
          <w:p>
            <w:pPr>
              <w:spacing w:before="40" w:after="40"/>
              <w:jc w:val="center"/>
            </w:pPr>
            <w:r>
              <w:rPr>
                <w:rFonts w:ascii="Calibri" w:hAnsi="Calibri"/>
                <w:b/>
                <w:color w:val="FFFFFF"/>
                <w:sz w:val="19"/>
              </w:rPr>
              <w:t>Restricción</w:t>
            </w:r>
          </w:p>
        </w:tc>
        <w:tc>
          <w:tcPr>
            <w:tcW w:type="dxa" w:w="2592"/>
            <w:shd w:fill="065F46"/>
            <w:tcMar>
              <w:top w:w="120" w:type="dxa"/>
              <w:bottom w:w="120" w:type="dxa"/>
              <w:left w:w="120" w:type="dxa"/>
              <w:right w:w="120" w:type="dxa"/>
            </w:tcMar>
          </w:tcPr>
          <w:p>
            <w:pPr>
              <w:spacing w:before="40" w:after="40"/>
              <w:jc w:val="left"/>
            </w:pPr>
            <w:r>
              <w:rPr>
                <w:rFonts w:ascii="Calibri" w:hAnsi="Calibri"/>
                <w:b/>
                <w:color w:val="FFFFFF"/>
                <w:sz w:val="19"/>
              </w:rPr>
              <w:t>Campo en el Simulador</w:t>
            </w:r>
          </w:p>
        </w:tc>
        <w:tc>
          <w:tcPr>
            <w:tcW w:type="dxa" w:w="1440"/>
            <w:shd w:fill="065F46"/>
            <w:tcMar>
              <w:top w:w="120" w:type="dxa"/>
              <w:bottom w:w="120" w:type="dxa"/>
              <w:left w:w="120" w:type="dxa"/>
              <w:right w:w="120" w:type="dxa"/>
            </w:tcMar>
          </w:tcPr>
          <w:p>
            <w:pPr>
              <w:spacing w:before="40" w:after="40"/>
              <w:jc w:val="center"/>
            </w:pPr>
            <w:r>
              <w:rPr>
                <w:rFonts w:ascii="Calibri" w:hAnsi="Calibri"/>
                <w:b/>
                <w:color w:val="FFFFFF"/>
                <w:sz w:val="19"/>
              </w:rPr>
              <w:t>Valor Base</w:t>
            </w:r>
          </w:p>
        </w:tc>
        <w:tc>
          <w:tcPr>
            <w:tcW w:type="dxa" w:w="3888"/>
            <w:shd w:fill="065F46"/>
            <w:tcMar>
              <w:top w:w="120" w:type="dxa"/>
              <w:bottom w:w="120" w:type="dxa"/>
              <w:left w:w="120" w:type="dxa"/>
              <w:right w:w="120" w:type="dxa"/>
            </w:tcMar>
          </w:tcPr>
          <w:p>
            <w:pPr>
              <w:spacing w:before="40" w:after="40"/>
              <w:jc w:val="left"/>
            </w:pPr>
            <w:r>
              <w:rPr>
                <w:rFonts w:ascii="Calibri" w:hAnsi="Calibri"/>
                <w:b/>
                <w:color w:val="FFFFFF"/>
                <w:sz w:val="19"/>
              </w:rPr>
              <w:t>Rol en el Motor de Decisión</w:t>
            </w:r>
          </w:p>
        </w:tc>
      </w:tr>
      <w:tr>
        <w:tc>
          <w:tcPr>
            <w:tcW w:type="dxa" w:w="1440"/>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B_max</w:t>
            </w:r>
          </w:p>
        </w:tc>
        <w:tc>
          <w:tcPr>
            <w:tcW w:type="dxa" w:w="2592"/>
            <w:shd w:fill="FFFFFF"/>
            <w:tcMar>
              <w:top w:w="90" w:type="dxa"/>
              <w:bottom w:w="90" w:type="dxa"/>
              <w:left w:w="120" w:type="dxa"/>
              <w:right w:w="120" w:type="dxa"/>
            </w:tcMar>
          </w:tcPr>
          <w:p>
            <w:pPr>
              <w:spacing w:before="20" w:after="20" w:line="264" w:lineRule="auto"/>
              <w:jc w:val="left"/>
            </w:pPr>
            <w:r>
              <w:rPr>
                <w:rFonts w:ascii="Calibri" w:hAnsi="Calibri"/>
                <w:color w:val="1E293B"/>
                <w:sz w:val="18"/>
              </w:rPr>
              <w:t>Presupuesto Tope (USD/mes)</w:t>
              <w:br/>
              <w:t>(max_budget_usd)</w:t>
            </w:r>
          </w:p>
        </w:tc>
        <w:tc>
          <w:tcPr>
            <w:tcW w:type="dxa" w:w="1440"/>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$25.00 USD</w:t>
            </w:r>
          </w:p>
        </w:tc>
        <w:tc>
          <w:tcPr>
            <w:tcW w:type="dxa" w:w="3888"/>
            <w:shd w:fill="FFFFFF"/>
            <w:tcMar>
              <w:top w:w="90" w:type="dxa"/>
              <w:bottom w:w="90" w:type="dxa"/>
              <w:left w:w="120" w:type="dxa"/>
              <w:right w:w="120" w:type="dxa"/>
            </w:tcMar>
          </w:tcPr>
          <w:p>
            <w:pPr>
              <w:spacing w:before="20" w:after="20" w:line="264" w:lineRule="auto"/>
              <w:jc w:val="left"/>
            </w:pPr>
            <w:r>
              <w:rPr>
                <w:rFonts w:ascii="Calibri" w:hAnsi="Calibri"/>
                <w:color w:val="1E293B"/>
                <w:sz w:val="18"/>
              </w:rPr>
              <w:t>Restricción dura financiera. Activa penalización severa en el puntaje si el costo mensual excede el límite del MVP.</w:t>
            </w:r>
          </w:p>
        </w:tc>
      </w:tr>
      <w:tr>
        <w:tc>
          <w:tcPr>
            <w:tcW w:type="dxa" w:w="1440"/>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L_max</w:t>
            </w:r>
          </w:p>
        </w:tc>
        <w:tc>
          <w:tcPr>
            <w:tcW w:type="dxa" w:w="2592"/>
            <w:shd w:fill="F8FAFC"/>
            <w:tcMar>
              <w:top w:w="90" w:type="dxa"/>
              <w:bottom w:w="90" w:type="dxa"/>
              <w:left w:w="120" w:type="dxa"/>
              <w:right w:w="120" w:type="dxa"/>
            </w:tcMar>
          </w:tcPr>
          <w:p>
            <w:pPr>
              <w:spacing w:before="20" w:after="20" w:line="264" w:lineRule="auto"/>
              <w:jc w:val="left"/>
            </w:pPr>
            <w:r>
              <w:rPr>
                <w:rFonts w:ascii="Calibri" w:hAnsi="Calibri"/>
                <w:color w:val="1E293B"/>
                <w:sz w:val="18"/>
              </w:rPr>
              <w:t>Latencia Máxima SLA (ms)</w:t>
              <w:br/>
              <w:t>(max_latency_ms)</w:t>
            </w:r>
          </w:p>
        </w:tc>
        <w:tc>
          <w:tcPr>
            <w:tcW w:type="dxa" w:w="1440"/>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1500.0 ms</w:t>
            </w:r>
          </w:p>
        </w:tc>
        <w:tc>
          <w:tcPr>
            <w:tcW w:type="dxa" w:w="3888"/>
            <w:shd w:fill="F8FAFC"/>
            <w:tcMar>
              <w:top w:w="90" w:type="dxa"/>
              <w:bottom w:w="90" w:type="dxa"/>
              <w:left w:w="120" w:type="dxa"/>
              <w:right w:w="120" w:type="dxa"/>
            </w:tcMar>
          </w:tcPr>
          <w:p>
            <w:pPr>
              <w:spacing w:before="20" w:after="20" w:line="264" w:lineRule="auto"/>
              <w:jc w:val="left"/>
            </w:pPr>
            <w:r>
              <w:rPr>
                <w:rFonts w:ascii="Calibri" w:hAnsi="Calibri"/>
                <w:color w:val="1E293B"/>
                <w:sz w:val="18"/>
              </w:rPr>
              <w:t>Restricción dura de rendimiento. Umbral máximo tolerable en calle bajo conectividad móvil 4G.</w:t>
            </w:r>
          </w:p>
        </w:tc>
      </w:tr>
      <w:tr>
        <w:tc>
          <w:tcPr>
            <w:tcW w:type="dxa" w:w="1440"/>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A_min</w:t>
            </w:r>
          </w:p>
        </w:tc>
        <w:tc>
          <w:tcPr>
            <w:tcW w:type="dxa" w:w="2592"/>
            <w:shd w:fill="FFFFFF"/>
            <w:tcMar>
              <w:top w:w="90" w:type="dxa"/>
              <w:bottom w:w="90" w:type="dxa"/>
              <w:left w:w="120" w:type="dxa"/>
              <w:right w:w="120" w:type="dxa"/>
            </w:tcMar>
          </w:tcPr>
          <w:p>
            <w:pPr>
              <w:spacing w:before="20" w:after="20" w:line="264" w:lineRule="auto"/>
              <w:jc w:val="left"/>
            </w:pPr>
            <w:r>
              <w:rPr>
                <w:rFonts w:ascii="Calibri" w:hAnsi="Calibri"/>
                <w:color w:val="1E293B"/>
                <w:sz w:val="18"/>
              </w:rPr>
              <w:t>Disponibilidad Mínima (%)</w:t>
              <w:br/>
              <w:t>(min_availability_pct)</w:t>
            </w:r>
          </w:p>
        </w:tc>
        <w:tc>
          <w:tcPr>
            <w:tcW w:type="dxa" w:w="1440"/>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99.00 %</w:t>
            </w:r>
          </w:p>
        </w:tc>
        <w:tc>
          <w:tcPr>
            <w:tcW w:type="dxa" w:w="3888"/>
            <w:shd w:fill="FFFFFF"/>
            <w:tcMar>
              <w:top w:w="90" w:type="dxa"/>
              <w:bottom w:w="90" w:type="dxa"/>
              <w:left w:w="120" w:type="dxa"/>
              <w:right w:w="120" w:type="dxa"/>
            </w:tcMar>
          </w:tcPr>
          <w:p>
            <w:pPr>
              <w:spacing w:before="20" w:after="20" w:line="264" w:lineRule="auto"/>
              <w:jc w:val="left"/>
            </w:pPr>
            <w:r>
              <w:rPr>
                <w:rFonts w:ascii="Calibri" w:hAnsi="Calibri"/>
                <w:color w:val="1E293B"/>
                <w:sz w:val="18"/>
              </w:rPr>
              <w:t>Restricción dura de continuidad de servicio en horas de entrega diurna.</w:t>
            </w:r>
          </w:p>
        </w:tc>
      </w:tr>
      <w:tr>
        <w:tc>
          <w:tcPr>
            <w:tcW w:type="dxa" w:w="1440"/>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E_team</w:t>
            </w:r>
          </w:p>
        </w:tc>
        <w:tc>
          <w:tcPr>
            <w:tcW w:type="dxa" w:w="2592"/>
            <w:shd w:fill="F8FAFC"/>
            <w:tcMar>
              <w:top w:w="90" w:type="dxa"/>
              <w:bottom w:w="90" w:type="dxa"/>
              <w:left w:w="120" w:type="dxa"/>
              <w:right w:w="120" w:type="dxa"/>
            </w:tcMar>
          </w:tcPr>
          <w:p>
            <w:pPr>
              <w:spacing w:before="20" w:after="20" w:line="264" w:lineRule="auto"/>
              <w:jc w:val="left"/>
            </w:pPr>
            <w:r>
              <w:rPr>
                <w:rFonts w:ascii="Calibri" w:hAnsi="Calibri"/>
                <w:color w:val="1E293B"/>
                <w:sz w:val="18"/>
              </w:rPr>
              <w:t>Tamaño del Equipo Técnico</w:t>
              <w:br/>
              <w:t>(team_size)</w:t>
            </w:r>
          </w:p>
        </w:tc>
        <w:tc>
          <w:tcPr>
            <w:tcW w:type="dxa" w:w="1440"/>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3 ingenieros</w:t>
            </w:r>
          </w:p>
        </w:tc>
        <w:tc>
          <w:tcPr>
            <w:tcW w:type="dxa" w:w="3888"/>
            <w:shd w:fill="F8FAFC"/>
            <w:tcMar>
              <w:top w:w="90" w:type="dxa"/>
              <w:bottom w:w="90" w:type="dxa"/>
              <w:left w:w="120" w:type="dxa"/>
              <w:right w:w="120" w:type="dxa"/>
            </w:tcMar>
          </w:tcPr>
          <w:p>
            <w:pPr>
              <w:spacing w:before="20" w:after="20" w:line="264" w:lineRule="auto"/>
              <w:jc w:val="left"/>
            </w:pPr>
            <w:r>
              <w:rPr>
                <w:rFonts w:ascii="Calibri" w:hAnsi="Calibri"/>
                <w:color w:val="1E293B"/>
                <w:sz w:val="18"/>
              </w:rPr>
              <w:t>Evalúa la viabilidad operativa frente a la complejidad DevOps de microservicios o Kubernetes.</w:t>
            </w:r>
          </w:p>
        </w:tc>
      </w:tr>
      <w:tr>
        <w:tc>
          <w:tcPr>
            <w:tcW w:type="dxa" w:w="1440"/>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e_enc</w:t>
            </w:r>
          </w:p>
        </w:tc>
        <w:tc>
          <w:tcPr>
            <w:tcW w:type="dxa" w:w="2592"/>
            <w:shd w:fill="FFFFFF"/>
            <w:tcMar>
              <w:top w:w="90" w:type="dxa"/>
              <w:bottom w:w="90" w:type="dxa"/>
              <w:left w:w="120" w:type="dxa"/>
              <w:right w:w="120" w:type="dxa"/>
            </w:tcMar>
          </w:tcPr>
          <w:p>
            <w:pPr>
              <w:spacing w:before="20" w:after="20" w:line="264" w:lineRule="auto"/>
              <w:jc w:val="left"/>
            </w:pPr>
            <w:r>
              <w:rPr>
                <w:rFonts w:ascii="Calibri" w:hAnsi="Calibri"/>
                <w:color w:val="1E293B"/>
                <w:sz w:val="18"/>
              </w:rPr>
              <w:t>Cifrado Obligatorio</w:t>
              <w:br/>
              <w:t>(require_encryption)</w:t>
            </w:r>
          </w:p>
        </w:tc>
        <w:tc>
          <w:tcPr>
            <w:tcW w:type="dxa" w:w="1440"/>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True</w:t>
            </w:r>
          </w:p>
        </w:tc>
        <w:tc>
          <w:tcPr>
            <w:tcW w:type="dxa" w:w="3888"/>
            <w:shd w:fill="FFFFFF"/>
            <w:tcMar>
              <w:top w:w="90" w:type="dxa"/>
              <w:bottom w:w="90" w:type="dxa"/>
              <w:left w:w="120" w:type="dxa"/>
              <w:right w:w="120" w:type="dxa"/>
            </w:tcMar>
          </w:tcPr>
          <w:p>
            <w:pPr>
              <w:spacing w:before="20" w:after="20" w:line="264" w:lineRule="auto"/>
              <w:jc w:val="left"/>
            </w:pPr>
            <w:r>
              <w:rPr>
                <w:rFonts w:ascii="Calibri" w:hAnsi="Calibri"/>
                <w:color w:val="1E293B"/>
                <w:sz w:val="18"/>
              </w:rPr>
              <w:t>Otorga bonificación de +6 puntos en seguridad al exigir TLS extremo a extremo (Ley 1581 de Habeas Data).</w:t>
            </w:r>
          </w:p>
        </w:tc>
      </w:tr>
      <w:tr>
        <w:tc>
          <w:tcPr>
            <w:tcW w:type="dxa" w:w="1440"/>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w</w:t>
            </w:r>
          </w:p>
        </w:tc>
        <w:tc>
          <w:tcPr>
            <w:tcW w:type="dxa" w:w="2592"/>
            <w:shd w:fill="F8FAFC"/>
            <w:tcMar>
              <w:top w:w="90" w:type="dxa"/>
              <w:bottom w:w="90" w:type="dxa"/>
              <w:left w:w="120" w:type="dxa"/>
              <w:right w:w="120" w:type="dxa"/>
            </w:tcMar>
          </w:tcPr>
          <w:p>
            <w:pPr>
              <w:spacing w:before="20" w:after="20" w:line="264" w:lineRule="auto"/>
              <w:jc w:val="left"/>
            </w:pPr>
            <w:r>
              <w:rPr>
                <w:rFonts w:ascii="Calibri" w:hAnsi="Calibri"/>
                <w:color w:val="1E293B"/>
                <w:sz w:val="18"/>
              </w:rPr>
              <w:t>Vector de Pesos MCDA</w:t>
              <w:br/>
              <w:t>(weights)</w:t>
            </w:r>
          </w:p>
        </w:tc>
        <w:tc>
          <w:tcPr>
            <w:tcW w:type="dxa" w:w="1440"/>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(25%, 15%, 20%,</w:t>
              <w:br/>
              <w:t>15%, 15%, 10%)</w:t>
            </w:r>
          </w:p>
        </w:tc>
        <w:tc>
          <w:tcPr>
            <w:tcW w:type="dxa" w:w="3888"/>
            <w:shd w:fill="F8FAFC"/>
            <w:tcMar>
              <w:top w:w="90" w:type="dxa"/>
              <w:bottom w:w="90" w:type="dxa"/>
              <w:left w:w="120" w:type="dxa"/>
              <w:right w:w="120" w:type="dxa"/>
            </w:tcMar>
          </w:tcPr>
          <w:p>
            <w:pPr>
              <w:spacing w:before="20" w:after="20" w:line="264" w:lineRule="auto"/>
              <w:jc w:val="left"/>
            </w:pPr>
            <w:r>
              <w:rPr>
                <w:rFonts w:ascii="Calibri" w:hAnsi="Calibri"/>
                <w:color w:val="1E293B"/>
                <w:sz w:val="18"/>
              </w:rPr>
              <w:t>Ponderaciones para Latencia, Throughput, Escalabilidad, Disponibilidad, Costo y Seguridad/Equipo respectivamente.</w:t>
            </w:r>
          </w:p>
        </w:tc>
      </w:tr>
    </w:tbl>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60" w:line="276" w:lineRule="auto"/>
            </w:pPr>
            <w:r>
              <w:rPr>
                <w:rFonts w:ascii="Calibri" w:hAnsi="Calibri"/>
                <w:b/>
                <w:color w:val="065F46"/>
                <w:sz w:val="20"/>
              </w:rPr>
              <w:t xml:space="preserve">📌 CONTROL DEFENSIVO DE ERRORES: </w:t>
            </w:r>
            <w:r>
              <w:rPr>
                <w:rFonts w:ascii="Calibri" w:hAnsi="Calibri"/>
                <w:color w:val="1E293B"/>
                <w:sz w:val="19"/>
              </w:rPr>
              <w:t>Validación Defensiva (Requisito 10): El simulador sanitiza automáticamente números con coma decimal (ej. '0,25' o '99,5') y rechaza de forma estricta valores negativos, rutas con menos de 2 paradas o disponibilidades mayores a 100%, emitiendo respuestas estructuradas HTTP 422 con diagnósticos claros en español.</w:t>
            </w:r>
          </w:p>
        </w:tc>
      </w:tr>
    </w:tbl>
    <w:p>
      <w:pPr>
        <w:spacing w:before="0" w:after="80"/>
      </w:pPr>
    </w:p>
    <w:p>
      <w:pPr>
        <w:pStyle w:val="Heading1"/>
      </w:pPr>
      <w:r>
        <w:rPr>
          <w:rFonts w:ascii="Calibri" w:hAnsi="Calibri"/>
          <w:color w:val="065F46"/>
          <w:sz w:val="26"/>
        </w:rPr>
        <w:t>3. Fórmulas y Modelo Matemático Completo</w:t>
      </w:r>
    </w:p>
    <w:p>
      <w:r>
        <w:t>El motor analítico del simulador es completamente determinista y auditable. Se estructuran nueve bloques de ecuaciones cerradas que calculan el comportamiento del sistema a partir de las tasas de llegada, tiempos de servicio, degradación por encolamiento y costos unitarios.</w:t>
      </w:r>
    </w:p>
    <w:p>
      <w:pPr>
        <w:pStyle w:val="Heading2"/>
      </w:pPr>
      <w:r>
        <w:t>3.1 Bloque 1: Tasas de Solicitud y Fracción Cloud de OCR (req/s)</w:t>
      </w:r>
    </w:p>
    <w:p>
      <w:r>
        <w:t>Definiendo la ventana crítica matutina W = 1800 segundos (30 minutos) y una tasa media de recálculos de ruta R_recalc = 1.5 por conductor: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λ_crud = (U · F_crud) / 60</w:t>
              <w:br/>
              <w:t>λ_ocr,raw = (U · G) / W</w:t>
              <w:br/>
              <w:t>λ_ocr,cloud = λ_ocr,raw · θ_cloud_ocr</w:t>
              <w:br/>
              <w:t>λ_tsp = (U · R_recalc) / W</w:t>
              <w:br/>
              <w:br/>
              <w:t>Λ_client = λ_crud + λ_ocr,raw + λ_tsp</w:t>
              <w:br/>
              <w:t>Λ_backend = λ_crud + λ_ocr,cloud + λ_tsp</w:t>
            </w:r>
          </w:p>
          <w:p>
            <w:pPr>
              <w:spacing w:before="40" w:after="40"/>
            </w:pPr>
            <w:r>
              <w:rPr>
                <w:rFonts w:ascii="Calibri" w:hAnsi="Calibri"/>
                <w:color w:val="475569"/>
                <w:sz w:val="18"/>
              </w:rPr>
              <w:t>Donde θ_cloud_ocr = 0.15 para la arquitectura Híbrida Edge (85% procesado gratis en el teléfono con Google ML Kit) y θ_cloud_ocr = 1.0 para las tres arquitecturas basadas en servidor.</w:t>
            </w:r>
          </w:p>
        </w:tc>
      </w:tr>
    </w:tbl>
    <w:p>
      <w:pPr>
        <w:spacing w:before="0" w:after="80"/>
      </w:pPr>
    </w:p>
    <w:p>
      <w:pPr>
        <w:pStyle w:val="Heading2"/>
      </w:pPr>
      <w:r>
        <w:t>3.2 Bloque 2: Complejidad Algorítmica de Ruteo TSP (Google OR-Tools)</w:t>
      </w:r>
    </w:p>
    <w:p>
      <w:r>
        <w:t>El cálculo de distancias geodésicas Haversine y la resolución de Open TSP mediante Guided Local Search escala de forma superlineal con respecto a la cantidad de paradas N_p:</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φ_tsp(N_p) = (N_p / 30)^1.85</w:t>
            </w:r>
          </w:p>
          <w:p>
            <w:pPr>
              <w:spacing w:before="40" w:after="40"/>
            </w:pPr>
            <w:r>
              <w:rPr>
                <w:rFonts w:ascii="Calibri" w:hAnsi="Calibri"/>
                <w:color w:val="475569"/>
                <w:sz w:val="18"/>
              </w:rPr>
              <w:t>Toma como punto normalizado de referencia una ruta urbana típica de 30 paradas (φ_tsp = 1.00). Para rutas extensas de 115 paradas, la demanda algorítmica se multiplica por 12.02 veces.</w:t>
            </w:r>
          </w:p>
        </w:tc>
      </w:tr>
    </w:tbl>
    <w:p>
      <w:pPr>
        <w:spacing w:before="0" w:after="80"/>
      </w:pPr>
    </w:p>
    <w:p>
      <w:pPr>
        <w:pStyle w:val="Heading2"/>
      </w:pPr>
      <w:r>
        <w:t>3.3 Bloque 3: Demanda, Sobre-Escalado Horizontal y Utilización</w:t>
      </w:r>
    </w:p>
    <w:p>
      <w:r>
        <w:t>La demanda agregada D y la capacidad efectiva C(I) incorporan el fenómeno de sobre-escalado identificado experimentalmente por Blinowski et al. (2022):</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D = (λ_crud · c_crud) + (λ_ocr,cloud · c_ocr) + (λ_tsp · c_tsp · φ_tsp)</w:t>
              <w:br/>
              <w:br/>
              <w:t>f_over(I) = max(0.55,  1.0 - β_coord · [max(0, I - 6)]^2)</w:t>
              <w:br/>
              <w:br/>
              <w:t>C(I) = μ_0 · (I^η) · f_over(I)</w:t>
              <w:br/>
              <w:br/>
              <w:t>ρ = D / max(C(I), 10^-6)</w:t>
            </w:r>
          </w:p>
          <w:p>
            <w:pPr>
              <w:spacing w:before="40" w:after="40"/>
            </w:pPr>
            <w:r>
              <w:rPr>
                <w:rFonts w:ascii="Calibri" w:hAnsi="Calibri"/>
                <w:color w:val="475569"/>
                <w:sz w:val="18"/>
              </w:rPr>
              <w:t>El término I^η refleja la ley de rendimientos decrecientes del escalado (η = 0.62 en monolito vs 0.92 en microservicios). El factor f_over penaliza drásticamente cuando se asignan más de 6 réplicas debido al overhead de sincronización y red.</w:t>
            </w:r>
          </w:p>
        </w:tc>
      </w:tr>
    </w:tbl>
    <w:p>
      <w:pPr>
        <w:spacing w:before="0" w:after="80"/>
      </w:pPr>
    </w:p>
    <w:p>
      <w:pPr>
        <w:pStyle w:val="Heading2"/>
      </w:pPr>
      <w:r>
        <w:t>3.4 Bloque 4: Latencia Extremo a Extremo con Modelo de Encolamiento M/G/1</w:t>
      </w:r>
    </w:p>
    <w:p>
      <w:r>
        <w:t>El tiempo de respuesta percibido por el conductor integra la latencia base, sobrecarga IPC de red, tiempo medio de servicio ponderado, multiplicador asintótico de cola y penalización de arranque en frío:</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L_ipc(I) = l_ipc,base + l_ipc_inst · max(0, I - 1)</w:t>
              <w:br/>
              <w:br/>
              <w:t>τ_tsp = τ_tsp,base + α_tsp · φ_tsp</w:t>
              <w:br/>
              <w:t>τ_prom = [(λ_crud · τ_crud) + (λ_ocr,cloud · τ_ocr) + (λ_tsp · τ_tsp)] / Λ_backend</w:t>
              <w:br/>
              <w:br/>
              <w:t>ρ_eff = min(ρ, 0.985)</w:t>
              <w:br/>
              <w:t>M_q(ρ_eff) = 1.0 + [ (ρ_eff^2) / (1.0 - ρ_eff) ]</w:t>
              <w:br/>
              <w:t>L_sat(ρ) = 2800 · max(0, ρ - 1.0)</w:t>
              <w:br/>
              <w:br/>
              <w:t>L = l_base + L_ipc(I) + [ τ_prom · M_q(ρ_eff) ] + L_cold + L_sat(ρ)</w:t>
            </w:r>
          </w:p>
          <w:p>
            <w:pPr>
              <w:spacing w:before="40" w:after="40"/>
            </w:pPr>
            <w:r>
              <w:rPr>
                <w:rFonts w:ascii="Calibri" w:hAnsi="Calibri"/>
                <w:color w:val="475569"/>
                <w:sz w:val="18"/>
              </w:rPr>
              <w:t>Captura el retraso de saltos de red medido por Al-Debagy (2018), el colapso no lineal de cola cuando la utilización supera el 80% y los arranques en frío serverless para rutas complejas (L_cold).</w:t>
            </w:r>
          </w:p>
        </w:tc>
      </w:tr>
    </w:tbl>
    <w:p>
      <w:pPr>
        <w:spacing w:before="0" w:after="80"/>
      </w:pPr>
    </w:p>
    <w:p>
      <w:pPr>
        <w:pStyle w:val="Heading2"/>
      </w:pPr>
      <w:r>
        <w:t>3.5 Bloque 5: Throughput Efectivo y Tasa de Error</w:t>
      </w:r>
    </w:p>
    <w:p>
      <w:r>
        <w:t>Cuando el sistema entra en saturación (ρ &gt; 92%), se modela el descarte de solicitudes por timeout o rechazo HTTP 503:</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p_drop = 0.0  si  ρ &lt;= 0.92,   sino   min(0.85, 1.0 - [0.92 / ρ])</w:t>
              <w:br/>
              <w:br/>
              <w:t>Tasa_Error (%) = p_drop · 100</w:t>
              <w:br/>
              <w:t>Throughput (req/s) = Λ_client · (1.0 - p_drop)</w:t>
            </w:r>
          </w:p>
          <w:p>
            <w:pPr>
              <w:spacing w:before="40" w:after="40"/>
            </w:pPr>
            <w:r>
              <w:rPr>
                <w:rFonts w:ascii="Calibri" w:hAnsi="Calibri"/>
                <w:color w:val="475569"/>
                <w:sz w:val="18"/>
              </w:rPr>
              <w:t>Permite evaluar la degradación controlada frente a la caída abrupta del servicio bajo picos de tráfico.</w:t>
            </w:r>
          </w:p>
        </w:tc>
      </w:tr>
    </w:tbl>
    <w:p>
      <w:pPr>
        <w:spacing w:before="0" w:after="80"/>
      </w:pPr>
    </w:p>
    <w:p>
      <w:pPr>
        <w:pStyle w:val="Heading2"/>
      </w:pPr>
      <w:r>
        <w:t>3.6 Bloque 6: Disponibilidad SLA con Degradación por SPOF (%)</w:t>
      </w:r>
    </w:p>
    <w:p>
      <w:r>
        <w:t>La redundancia en paralelo de nodos efectivos m_eff está acotada por el punto único de fallo (SPOF) estructural: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m_eff = min(I, m_max_avail)</w:t>
              <w:br/>
              <w:t>A_paralelo = 1.0 - (1.0 - a_0)^m_eff</w:t>
              <w:br/>
              <w:t>ΔA_stress = δ_spof · max(0, ρ - 0.80)</w:t>
              <w:br/>
              <w:br/>
              <w:t>Disponibilidad (%) = 100 · max(0.90, min(0.9999, A_paralelo - ΔA_stress))</w:t>
            </w:r>
          </w:p>
          <w:p>
            <w:pPr>
              <w:spacing w:before="40" w:after="40"/>
            </w:pPr>
            <w:r>
              <w:rPr>
                <w:rFonts w:ascii="Calibri" w:hAnsi="Calibri"/>
                <w:color w:val="475569"/>
                <w:sz w:val="18"/>
              </w:rPr>
              <w:t>Explica por qué un monolito con base de datos acoplada (m_max=1, δ_spof=0.018) no puede alcanzar SLAs de 4 nueves (99.99%), mientras que microservicios distribuidos (m_max=6, δ_spof=0.003) sí lo consiguen.</w:t>
            </w:r>
          </w:p>
        </w:tc>
      </w:tr>
    </w:tbl>
    <w:p>
      <w:pPr>
        <w:spacing w:before="0" w:after="80"/>
      </w:pPr>
    </w:p>
    <w:p>
      <w:pPr>
        <w:pStyle w:val="Heading2"/>
      </w:pPr>
      <w:r>
        <w:t>3.7 Bloque 7: Facturación Mensual Estimada Cloud (USD/mes)</w:t>
      </w:r>
    </w:p>
    <w:p>
      <w:r>
        <w:t>Proyectando 26 días operativos al mes en Bogotá (lunes a sábado):</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G_mes = 26 · U · G,      Q_mes = 26 · Λ_client · W</w:t>
              <w:br/>
              <w:br/>
              <w:t>Régimen Servidor Fijo:</w:t>
              <w:br/>
              <w:t>Costo_USD = (c_infra · I) + c_gateway_fijo + (G_mes · c_api_ocr)</w:t>
              <w:br/>
              <w:br/>
              <w:t>Régimen Serverless (FaaS):</w:t>
              <w:br/>
              <w:t>Costo_USD = [8 · max(0, I - 1)] + 0.00008 · max(0, Q_mes - 150000) · (1 + 0.35 · φ_tsp) + (G_mes · c_api_ocr)</w:t>
            </w:r>
          </w:p>
          <w:p>
            <w:pPr>
              <w:spacing w:before="40" w:after="40"/>
            </w:pPr>
            <w:r>
              <w:rPr>
                <w:rFonts w:ascii="Calibri" w:hAnsi="Calibri"/>
                <w:color w:val="475569"/>
                <w:sz w:val="18"/>
              </w:rPr>
              <w:t>Demuestra por qué el MVP es altamente rentable en Serverless ($4.59 USD) al aprovechar la capa gratuita, mientras que microservicios ($48.83 USD) exige un costo base alto de infraestructura.</w:t>
            </w:r>
          </w:p>
        </w:tc>
      </w:tr>
    </w:tbl>
    <w:p>
      <w:pPr>
        <w:spacing w:before="0" w:after="80"/>
      </w:pPr>
    </w:p>
    <w:p/>
    <w:p>
      <w:pPr>
        <w:pStyle w:val="Heading2"/>
      </w:pPr>
      <w:r>
        <w:t>3.8 Matriz Completa de Parámetros Calibrados</w:t>
      </w:r>
    </w:p>
    <w:p>
      <w:r>
        <w:t>La siguiente tabla reúne los coeficientes numéricos calibrados en simulator/backend/app/engine/architectures.py:</w:t>
      </w:r>
    </w:p>
    <w:tbl>
      <w:tblPr>
        <w:tblW w:type="auto" w:w="0"/>
        <w:jc w:val="center"/>
        <w:tblLook w:firstColumn="1" w:firstRow="1" w:lastColumn="0" w:lastRow="0" w:noHBand="0" w:noVBand="1" w:val="04A0"/>
        <w:tblBorders>
          <w:top w:val="single" w:sz="6" w:space="0" w:color="CBD5E1"/>
          <w:left w:val="none"/>
          <w:bottom w:val="single" w:sz="12" w:space="0" w:color="CBD5E1"/>
          <w:right w:val="none"/>
          <w:insideH w:val="single" w:sz="4" w:space="0" w:color="CBD5E1"/>
          <w:insideV w:val="none"/>
        </w:tblBorders>
      </w:tblPr>
      <w:tblGrid>
        <w:gridCol w:w="1872"/>
        <w:gridCol w:w="1872"/>
        <w:gridCol w:w="1872"/>
        <w:gridCol w:w="1872"/>
        <w:gridCol w:w="1872"/>
      </w:tblGrid>
      <w:tr>
        <w:tc>
          <w:tcPr>
            <w:tcW w:type="dxa" w:w="2304"/>
            <w:shd w:fill="065F46"/>
            <w:tcMar>
              <w:top w:w="120" w:type="dxa"/>
              <w:bottom w:w="120" w:type="dxa"/>
              <w:left w:w="120" w:type="dxa"/>
              <w:right w:w="120" w:type="dxa"/>
            </w:tcMar>
          </w:tcPr>
          <w:p>
            <w:pPr>
              <w:spacing w:before="40" w:after="40"/>
              <w:jc w:val="left"/>
            </w:pPr>
            <w:r>
              <w:rPr>
                <w:rFonts w:ascii="Calibri" w:hAnsi="Calibri"/>
                <w:b/>
                <w:color w:val="FFFFFF"/>
                <w:sz w:val="19"/>
              </w:rPr>
              <w:t>Parámetro Técnico</w:t>
            </w:r>
          </w:p>
        </w:tc>
        <w:tc>
          <w:tcPr>
            <w:tcW w:type="dxa" w:w="1584"/>
            <w:shd w:fill="065F46"/>
            <w:tcMar>
              <w:top w:w="120" w:type="dxa"/>
              <w:bottom w:w="120" w:type="dxa"/>
              <w:left w:w="120" w:type="dxa"/>
              <w:right w:w="120" w:type="dxa"/>
            </w:tcMar>
          </w:tcPr>
          <w:p>
            <w:pPr>
              <w:spacing w:before="40" w:after="40"/>
              <w:jc w:val="center"/>
            </w:pPr>
            <w:r>
              <w:rPr>
                <w:rFonts w:ascii="Calibri" w:hAnsi="Calibri"/>
                <w:b/>
                <w:color w:val="FFFFFF"/>
                <w:sz w:val="19"/>
              </w:rPr>
              <w:t>Monolito MVP</w:t>
            </w:r>
          </w:p>
        </w:tc>
        <w:tc>
          <w:tcPr>
            <w:tcW w:type="dxa" w:w="1584"/>
            <w:shd w:fill="065F46"/>
            <w:tcMar>
              <w:top w:w="120" w:type="dxa"/>
              <w:bottom w:w="120" w:type="dxa"/>
              <w:left w:w="120" w:type="dxa"/>
              <w:right w:w="120" w:type="dxa"/>
            </w:tcMar>
          </w:tcPr>
          <w:p>
            <w:pPr>
              <w:spacing w:before="40" w:after="40"/>
              <w:jc w:val="center"/>
            </w:pPr>
            <w:r>
              <w:rPr>
                <w:rFonts w:ascii="Calibri" w:hAnsi="Calibri"/>
                <w:b/>
                <w:color w:val="FFFFFF"/>
                <w:sz w:val="19"/>
              </w:rPr>
              <w:t>Monolito Workers</w:t>
            </w:r>
          </w:p>
        </w:tc>
        <w:tc>
          <w:tcPr>
            <w:tcW w:type="dxa" w:w="1584"/>
            <w:shd w:fill="065F46"/>
            <w:tcMar>
              <w:top w:w="120" w:type="dxa"/>
              <w:bottom w:w="120" w:type="dxa"/>
              <w:left w:w="120" w:type="dxa"/>
              <w:right w:w="120" w:type="dxa"/>
            </w:tcMar>
          </w:tcPr>
          <w:p>
            <w:pPr>
              <w:spacing w:before="40" w:after="40"/>
              <w:jc w:val="center"/>
            </w:pPr>
            <w:r>
              <w:rPr>
                <w:rFonts w:ascii="Calibri" w:hAnsi="Calibri"/>
                <w:b/>
                <w:color w:val="FFFFFF"/>
                <w:sz w:val="19"/>
              </w:rPr>
              <w:t>Microservicios</w:t>
            </w:r>
          </w:p>
        </w:tc>
        <w:tc>
          <w:tcPr>
            <w:tcW w:type="dxa" w:w="2304"/>
            <w:shd w:fill="065F46"/>
            <w:tcMar>
              <w:top w:w="120" w:type="dxa"/>
              <w:bottom w:w="120" w:type="dxa"/>
              <w:left w:w="120" w:type="dxa"/>
              <w:right w:w="120" w:type="dxa"/>
            </w:tcMar>
          </w:tcPr>
          <w:p>
            <w:pPr>
              <w:spacing w:before="40" w:after="40"/>
              <w:jc w:val="center"/>
            </w:pPr>
            <w:r>
              <w:rPr>
                <w:rFonts w:ascii="Calibri" w:hAnsi="Calibri"/>
                <w:b/>
                <w:color w:val="FFFFFF"/>
                <w:sz w:val="19"/>
              </w:rPr>
              <w:t>Edge Serverless</w:t>
            </w:r>
          </w:p>
        </w:tc>
      </w:tr>
      <w:tr>
        <w:tc>
          <w:tcPr>
            <w:tcW w:type="dxa" w:w="230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Capacidad Base (μ_0)</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85.0 unid/s</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140.0 unid/s</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210.0 unid/s</w:t>
            </w:r>
          </w:p>
        </w:tc>
        <w:tc>
          <w:tcPr>
            <w:tcW w:type="dxa" w:w="230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165.0 unid/s</w:t>
            </w:r>
          </w:p>
        </w:tc>
      </w:tr>
      <w:tr>
        <w:tc>
          <w:tcPr>
            <w:tcW w:type="dxa" w:w="230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Eficiencia Escalado (η)</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0.62</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0.78</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0.92</w:t>
            </w:r>
          </w:p>
        </w:tc>
        <w:tc>
          <w:tcPr>
            <w:tcW w:type="dxa" w:w="230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0.88</w:t>
            </w:r>
          </w:p>
        </w:tc>
      </w:tr>
      <w:tr>
        <w:tc>
          <w:tcPr>
            <w:tcW w:type="dxa" w:w="230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Coord. Blinowski (β)</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0.012</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0.009</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0.008</w:t>
            </w:r>
          </w:p>
        </w:tc>
        <w:tc>
          <w:tcPr>
            <w:tcW w:type="dxa" w:w="230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0.004</w:t>
            </w:r>
          </w:p>
        </w:tc>
      </w:tr>
      <w:tr>
        <w:tc>
          <w:tcPr>
            <w:tcW w:type="dxa" w:w="230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Fracción Cloud OCR (θ)</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1.00 (100%)</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1.00 (100%)</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1.00 (100%)</w:t>
            </w:r>
          </w:p>
        </w:tc>
        <w:tc>
          <w:tcPr>
            <w:tcW w:type="dxa" w:w="230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0.15 (15%)</w:t>
            </w:r>
          </w:p>
        </w:tc>
      </w:tr>
      <w:tr>
        <w:tc>
          <w:tcPr>
            <w:tcW w:type="dxa" w:w="230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Latencia Base (l_base)</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38.0 ms</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44.0 ms</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52.0 ms</w:t>
            </w:r>
          </w:p>
        </w:tc>
        <w:tc>
          <w:tcPr>
            <w:tcW w:type="dxa" w:w="230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48.0 ms</w:t>
            </w:r>
          </w:p>
        </w:tc>
      </w:tr>
      <w:tr>
        <w:tc>
          <w:tcPr>
            <w:tcW w:type="dxa" w:w="230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Sobrecarga Red IPC</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0.0 ms</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9.0 + 1.2·(I-1)</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24.0 + 2.1·(I-1)</w:t>
            </w:r>
          </w:p>
        </w:tc>
        <w:tc>
          <w:tcPr>
            <w:tcW w:type="dxa" w:w="230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14.0 + 0.5·(I-1)</w:t>
            </w:r>
          </w:p>
        </w:tc>
      </w:tr>
      <w:tr>
        <w:tc>
          <w:tcPr>
            <w:tcW w:type="dxa" w:w="230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Costo Base Infraestructura</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$12.0 / inst</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$18.0 / inst</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$24.0 / inst</w:t>
            </w:r>
          </w:p>
        </w:tc>
        <w:tc>
          <w:tcPr>
            <w:tcW w:type="dxa" w:w="230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$0.0 (Pago por uso)</w:t>
            </w:r>
          </w:p>
        </w:tc>
      </w:tr>
      <w:tr>
        <w:tc>
          <w:tcPr>
            <w:tcW w:type="dxa" w:w="230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Costo Fijo Gateway/Broker</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$0.0</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$6.0 / mes</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$18.0 / mes</w:t>
            </w:r>
          </w:p>
        </w:tc>
        <w:tc>
          <w:tcPr>
            <w:tcW w:type="dxa" w:w="230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$0.0</w:t>
            </w:r>
          </w:p>
        </w:tc>
      </w:tr>
      <w:tr>
        <w:tc>
          <w:tcPr>
            <w:tcW w:type="dxa" w:w="230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Contenedores / Réplica</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 (VM)</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3 (Docker)</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5 (Docker)</w:t>
            </w:r>
          </w:p>
        </w:tc>
        <w:tc>
          <w:tcPr>
            <w:tcW w:type="dxa" w:w="230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 (Serverless)</w:t>
            </w:r>
          </w:p>
        </w:tc>
      </w:tr>
      <w:tr>
        <w:tc>
          <w:tcPr>
            <w:tcW w:type="dxa" w:w="230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Overhead CPU Docker</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4.0 %</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7.5 %</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12.5 %</w:t>
            </w:r>
          </w:p>
        </w:tc>
        <w:tc>
          <w:tcPr>
            <w:tcW w:type="dxa" w:w="230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5.5 %</w:t>
            </w:r>
          </w:p>
        </w:tc>
      </w:tr>
      <w:tr>
        <w:tc>
          <w:tcPr>
            <w:tcW w:type="dxa" w:w="2304"/>
            <w:shd w:fill="FFFFFF"/>
            <w:tcMar>
              <w:top w:w="90" w:type="dxa"/>
              <w:bottom w:w="90" w:type="dxa"/>
              <w:left w:w="120" w:type="dxa"/>
              <w:right w:w="120" w:type="dxa"/>
            </w:tcMar>
          </w:tcPr>
          <w:p>
            <w:pPr>
              <w:spacing w:before="20" w:after="20" w:line="264" w:lineRule="auto"/>
              <w:jc w:val="left"/>
            </w:pPr>
            <w:r>
              <w:rPr>
                <w:rFonts w:ascii="Calibri" w:hAnsi="Calibri"/>
                <w:color w:val="1E293B"/>
                <w:sz w:val="18"/>
              </w:rPr>
              <w:t>Aislamiento Modular (ψ)</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0.15</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0.62</w:t>
            </w:r>
          </w:p>
        </w:tc>
        <w:tc>
          <w:tcPr>
            <w:tcW w:type="dxa" w:w="158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0.95</w:t>
            </w:r>
          </w:p>
        </w:tc>
        <w:tc>
          <w:tcPr>
            <w:tcW w:type="dxa" w:w="2304"/>
            <w:shd w:fill="FFFFFF"/>
            <w:tcMar>
              <w:top w:w="90" w:type="dxa"/>
              <w:bottom w:w="90" w:type="dxa"/>
              <w:left w:w="120" w:type="dxa"/>
              <w:right w:w="120" w:type="dxa"/>
            </w:tcMar>
          </w:tcPr>
          <w:p>
            <w:pPr>
              <w:spacing w:before="20" w:after="20" w:line="264" w:lineRule="auto"/>
              <w:jc w:val="center"/>
            </w:pPr>
            <w:r>
              <w:rPr>
                <w:rFonts w:ascii="Calibri" w:hAnsi="Calibri"/>
                <w:color w:val="1E293B"/>
                <w:sz w:val="18"/>
              </w:rPr>
              <w:t>0.80</w:t>
            </w:r>
          </w:p>
        </w:tc>
      </w:tr>
      <w:tr>
        <w:tc>
          <w:tcPr>
            <w:tcW w:type="dxa" w:w="2304"/>
            <w:shd w:fill="F8FAFC"/>
            <w:tcMar>
              <w:top w:w="90" w:type="dxa"/>
              <w:bottom w:w="90" w:type="dxa"/>
              <w:left w:w="120" w:type="dxa"/>
              <w:right w:w="120" w:type="dxa"/>
            </w:tcMar>
          </w:tcPr>
          <w:p>
            <w:pPr>
              <w:spacing w:before="20" w:after="20" w:line="264" w:lineRule="auto"/>
              <w:jc w:val="left"/>
            </w:pPr>
            <w:r>
              <w:rPr>
                <w:rFonts w:ascii="Calibri" w:hAnsi="Calibri"/>
                <w:color w:val="1E293B"/>
                <w:sz w:val="18"/>
              </w:rPr>
              <w:t>Complejidad DevOps</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18 / 100</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45 / 100</w:t>
            </w:r>
          </w:p>
        </w:tc>
        <w:tc>
          <w:tcPr>
            <w:tcW w:type="dxa" w:w="158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82 / 100</w:t>
            </w:r>
          </w:p>
        </w:tc>
        <w:tc>
          <w:tcPr>
            <w:tcW w:type="dxa" w:w="2304"/>
            <w:shd w:fill="F8FAFC"/>
            <w:tcMar>
              <w:top w:w="90" w:type="dxa"/>
              <w:bottom w:w="90" w:type="dxa"/>
              <w:left w:w="120" w:type="dxa"/>
              <w:right w:w="120" w:type="dxa"/>
            </w:tcMar>
          </w:tcPr>
          <w:p>
            <w:pPr>
              <w:spacing w:before="20" w:after="20" w:line="264" w:lineRule="auto"/>
              <w:jc w:val="center"/>
            </w:pPr>
            <w:r>
              <w:rPr>
                <w:rFonts w:ascii="Calibri" w:hAnsi="Calibri"/>
                <w:color w:val="1E293B"/>
                <w:sz w:val="18"/>
              </w:rPr>
              <w:t>25 / 100</w:t>
            </w:r>
          </w:p>
        </w:tc>
      </w:tr>
    </w:tbl>
    <w:p/>
    <w:p>
      <w:pPr>
        <w:pStyle w:val="Heading1"/>
      </w:pPr>
      <w:r>
        <w:rPr>
          <w:rFonts w:ascii="Calibri" w:hAnsi="Calibri"/>
          <w:color w:val="065F46"/>
          <w:sz w:val="26"/>
        </w:rPr>
        <w:t>4. Criterios de Decisión, Restricciones y Análisis de Pareto 3D</w:t>
      </w:r>
    </w:p>
    <w:p>
      <w:r>
        <w:t>El simulador no selecciona arquitecturas de forma arbitraria; combina el método multicriterio formal SAW (Simple Additive Weighting), la frontera de optimalidad de Pareto en tres dimensiones y un sistema de penalizaciones defensivas.</w:t>
      </w:r>
    </w:p>
    <w:p>
      <w:pPr>
        <w:pStyle w:val="Heading2"/>
      </w:pPr>
      <w:r>
        <w:t>4.1 Evaluación Multicriterio MCDA-SAW y Normalización Min-Max</w:t>
      </w:r>
    </w:p>
    <w:p>
      <w:r>
        <w:t>Para cada criterio c, se normalizan los valores observados en el rango [0, 1] entre las cuatro arquitecturas: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Criterios de Costo (Latencia, Presupuesto):</w:t>
              <w:br/>
              <w:t>u_i,c = (v_max,c - v_i,c) / (v_max,c - v_min,c)</w:t>
              <w:br/>
              <w:br/>
              <w:t>Criterios de Beneficio (Throughput, Escalabilidad, Disponibilidad, Seguridad):</w:t>
              <w:br/>
              <w:t>u_i,c = (v_i,c - v_min,c) / (v_max,c - v_min,c)</w:t>
              <w:br/>
              <w:br/>
              <w:t>Puntaje Bruto SAW:</w:t>
              <w:br/>
              <w:t>Puntaje_Bruto = 100 · ∑ [ w_norm,c · u_i,c ]</w:t>
            </w:r>
          </w:p>
          <w:p>
            <w:pPr>
              <w:spacing w:before="40" w:after="40"/>
            </w:pPr>
            <w:r>
              <w:rPr>
                <w:rFonts w:ascii="Calibri" w:hAnsi="Calibri"/>
                <w:color w:val="475569"/>
                <w:sz w:val="18"/>
              </w:rPr>
              <w:t>Donde los pesos w_norm,c se normalizan para asegurar estrictamente que su suma sea igual al 100%.</w:t>
            </w:r>
          </w:p>
        </w:tc>
      </w:tr>
    </w:tbl>
    <w:p>
      <w:pPr>
        <w:spacing w:before="0" w:after="80"/>
      </w:pPr>
    </w:p>
    <w:p>
      <w:pPr>
        <w:pStyle w:val="Heading2"/>
      </w:pPr>
      <w:r>
        <w:t>4.2 Penalizaciones por Restricciones Duras y Amortiguación Proporcional</w:t>
      </w:r>
    </w:p>
    <w:p>
      <w:r>
        <w:t>Si una arquitectura incumple una restricción obligatoria fijada por el arquitecto, se calculan penalizaciones:</w:t>
      </w:r>
    </w:p>
    <w:p>
      <w:r>
        <w:t>• Penalización Presupuesto: 18 + 20 · (Costo - B_max) / B_max  (si Costo &gt; B_max)</w:t>
        <w:br/>
        <w:t>• Penalización Latencia: 20 + 20 · (Latencia - L_max) / L_max  (si Latencia &gt; L_max)</w:t>
        <w:br/>
        <w:t>• Penalización Disponibilidad: 22 + 25 · (A_min - Disponibilidad)  (si Disp &lt; A_min)</w:t>
        <w:br/>
        <w:t>• Penalización Capacidad: 20 puntos si la utilización ρ &gt; 105%</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36" w:space="0" w:color="059669"/>
              <w:bottom w:val="none"/>
              <w:right w:val="none"/>
            </w:tcBorders>
          </w:tcPr>
          <w:p>
            <w:pPr>
              <w:spacing w:before="40" w:after="60" w:line="276" w:lineRule="auto"/>
            </w:pPr>
            <w:r>
              <w:rPr>
                <w:rFonts w:ascii="Calibri" w:hAnsi="Calibri"/>
                <w:b/>
                <w:color w:val="065F46"/>
                <w:sz w:val="20"/>
              </w:rPr>
              <w:t xml:space="preserve">📌 INNOVACIÓN EN EL MOTOR DE DECISIÓN: </w:t>
            </w:r>
            <w:r>
              <w:rPr>
                <w:rFonts w:ascii="Calibri" w:hAnsi="Calibri"/>
                <w:color w:val="1E293B"/>
                <w:sz w:val="19"/>
              </w:rPr>
              <w:t>Mecanismo de Amortiguación Proporcional (Solución al error de puntajes 0.0): Anteriormente, cuando una arquitectura acumulaba varias penalizaciones que superaban su puntaje bruto, el valor era truncado a cero (0.0). Se diseñó una amortiguación proporcional defensiva basada en la tasa de saturación que garantiza un puntaje mínimo continuo y discriminativo (mayor a 0.5 puntos), preservando la trazabilidad del ranking para el evaluador.</w:t>
            </w:r>
          </w:p>
        </w:tc>
      </w:tr>
    </w:tbl>
    <w:p>
      <w:pPr>
        <w:spacing w:before="0" w:after="80"/>
      </w:pPr>
    </w:p>
    <w:p>
      <w:pPr>
        <w:pStyle w:val="Heading2"/>
      </w:pPr>
      <w:r>
        <w:t>4.3 Frontera de Optimalidad de Pareto 3D</w:t>
      </w:r>
    </w:p>
    <w:p>
      <w:r>
        <w:t>De manera previa a los pesos subjetivos, se evalúa si una arquitectura domina en sentido de Pareto a otra en el espacio de tres objetivos fundamentales: Minimizar Costo, Minimizar Latencia y Maximizar Disponibilidad. Una alternativa es Pareto-eficiente si no existe ninguna otra opción que sea estrictamente mejor o igual en los tres aspectos al mismo tiempo.</w:t>
      </w:r>
    </w:p>
    <w:p/>
    <w:p>
      <w:pPr>
        <w:pStyle w:val="Heading1"/>
      </w:pPr>
      <w:r>
        <w:rPr>
          <w:rFonts w:ascii="Calibri" w:hAnsi="Calibri"/>
          <w:color w:val="065F46"/>
          <w:sz w:val="26"/>
        </w:rPr>
        <w:t>5. Instrucciones de Uso del Simulador (Paso a Paso)</w:t>
      </w:r>
    </w:p>
    <w:p>
      <w:r>
        <w:t>El simulador cuenta con dos modalidades de despliegue: en la nube mediante GitHub Pages para acceso móvil inmediato durante sustentaciones, y de forma local en contenedores Docker para auditoría de código.</w:t>
      </w:r>
    </w:p>
    <w:p>
      <w:pPr>
        <w:pStyle w:val="Heading2"/>
      </w:pPr>
      <w:r>
        <w:t>5.1 Acceso Web Instantáneo y Código QR para el Aula de Clase</w:t>
      </w:r>
    </w:p>
    <w:p>
      <w:pPr/>
      <w:r>
        <w:t>1. Ingrese desde cualquier navegador web a la dirección pública:</w:t>
        <w:br/>
        <w:t xml:space="preserve">   https://teach1030.github.io/EnRuta/</w:t>
        <w:br/>
        <w:t>2. Para compartir el escenario actual en el salón, presione el botón superior «📱 Mostrar QR para el Salón».</w:t>
        <w:br/>
        <w:t>3. El docente y los estudiantes pueden escanear el código QR directamente con la cámara de sus teléfonos inteligentes. El enlace codifica en la URL todos los parámetros y sliders actuales, abriendo la simulación exacta en sus celulares.</w:t>
      </w:r>
    </w:p>
    <w:p>
      <w:pPr>
        <w:pStyle w:val="Heading2"/>
      </w:pPr>
      <w:r>
        <w:t>5.2 Ejecución Local en Contenedores Docker</w:t>
      </w:r>
    </w:p>
    <w:p>
      <w:r>
        <w:t>Para ejecutar la solución contenerizada completa con backend FastAPI y frontend Nginx en su máquina local: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80" w:type="dxa"/>
              <w:right w:w="180" w:type="dxa"/>
            </w:tcMar>
            <w:tcBorders>
              <w:top w:val="single" w:sz="6" w:space="0" w:color="E2E8F0"/>
              <w:left w:val="single" w:sz="24" w:space="0" w:color="0EA5E9"/>
              <w:bottom w:val="single" w:sz="6" w:space="0" w:color="E2E8F0"/>
              <w:right w:val="single" w:sz="6" w:space="0" w:color="E2E8F0"/>
            </w:tcBorders>
          </w:tcPr>
          <w:p>
            <w:pPr>
              <w:spacing w:before="80" w:after="60"/>
              <w:jc w:val="center"/>
            </w:pPr>
            <w:r>
              <w:rPr>
                <w:rFonts w:ascii="Cambria Math" w:hAnsi="Cambria Math"/>
                <w:b/>
                <w:color w:val="0F172A"/>
                <w:sz w:val="22"/>
              </w:rPr>
              <w:t># 1. Clonar el repositorio y ubicarse en la raíz:</w:t>
              <w:br/>
              <w:t>git clone https://github.com/teach1030/EnRuta.git</w:t>
              <w:br/>
              <w:t>cd EnRuta</w:t>
              <w:br/>
              <w:br/>
              <w:t># 2. Construir y levantar los contenedores en segundo plano:</w:t>
              <w:br/>
              <w:t>docker compose -f simulator/docker-compose.yml up --build -d</w:t>
              <w:br/>
              <w:br/>
              <w:t># 3. Ejecutar la suite completa de 19 pruebas automatizadas (QA):</w:t>
              <w:br/>
              <w:t>docker compose -f simulator/docker-compose.yml --profile qa run --rm sim-qa-tests</w:t>
            </w:r>
          </w:p>
          <w:p>
            <w:pPr>
              <w:spacing w:before="40" w:after="40"/>
            </w:pPr>
            <w:r>
              <w:rPr>
                <w:rFonts w:ascii="Calibri" w:hAnsi="Calibri"/>
                <w:color w:val="475569"/>
                <w:sz w:val="18"/>
              </w:rPr>
              <w:t>Puntos de acceso locales:</w:t>
              <w:br/>
              <w:t>• Aplicación Web del Simulador: http://localhost:8080/</w:t>
              <w:br/>
              <w:t>• Documentación Interactiva Swagger UI de la API: http://localhost:8000/docs</w:t>
              <w:br/>
              <w:t>• Endpoint de Estado del Servicio: http://localhost:8000/api/v1/health</w:t>
            </w:r>
          </w:p>
        </w:tc>
      </w:tr>
    </w:tbl>
    <w:p>
      <w:pPr>
        <w:spacing w:before="0" w:after="80"/>
      </w:pPr>
    </w:p>
    <w:p>
      <w:pPr>
        <w:pStyle w:val="Heading2"/>
      </w:pPr>
      <w:r>
        <w:t>5.3 Guía de Navegación por la Interfaz del Simulador</w:t>
      </w:r>
    </w:p>
    <w:p>
      <w:r>
        <w:t>• Panel 1 (Restricciones del Proyecto): Permite editar el presupuesto máximo, la latencia SLA admisible, la disponibilidad mínima requerida y ajustar los pesos relativos de los 6 criterios de evaluación.</w:t>
        <w:br/>
        <w:t>• Panel 2 (Escenarios y Carga): Permite alternar entre los cinco escenarios preconfigurados de Bogotá (Línea Base MVP, Pico Matutino OCR, Rutas Densas TSP, Escala Nacional y Demostración de Sobre-escalado), o modificar individualmente los conductores concurrentes, guías por conductor, paradas por ruta e instancias.</w:t>
        <w:br/>
        <w:t>• Panel 3 (Comparativa Técnica y Gráficas): Presenta la tabla comparativa completa con 12 métricas técnicas, la curva de escalabilidad de conductores, la frontera de Pareto y la curva de degradación por sobre-escalado.</w:t>
        <w:br/>
        <w:t>• Panel 4 (Asesor de Decisión Explicable): Muestra la arquitectura ganadora, el ranking ponderado de 0 a 100, el desglose paso a paso de fórmulas y las justificaciones técnicas de por qué ganaron o perdieron las demás opciones.</w:t>
      </w:r>
    </w:p>
    <w:p/>
    <w:p>
      <w:pPr>
        <w:pStyle w:val="Heading1"/>
      </w:pPr>
      <w:r>
        <w:rPr>
          <w:rFonts w:ascii="Calibri" w:hAnsi="Calibri"/>
          <w:color w:val="065F46"/>
          <w:sz w:val="26"/>
        </w:rPr>
        <w:t>6. Supuestos y Limitaciones del Simulador</w:t>
      </w:r>
    </w:p>
    <w:p>
      <w:r>
        <w:t>En estricto cumplimiento con el rigor científico y el Requisito 12 de la guía de la asignatura, se declaran formalmente los supuestos y límites del modelo analítico:</w:t>
      </w:r>
    </w:p>
    <w:p>
      <w:pPr>
        <w:pStyle w:val="Heading2"/>
      </w:pPr>
      <w:r>
        <w:t>6.1 Supuestos Asumidos en el Modelo</w:t>
      </w:r>
    </w:p>
    <w:p>
      <w:r>
        <w:t>1. Estacionariedad en la Ventana Pico: Las tasas de llegada de conductores, guías y paradas se asumen constantes y homogéneas durante la ventana de análisis de 30 minutos (W = 1800 s).</w:t>
        <w:br/>
        <w:t>2. Calendario Logístico Colombiano: La proyección de costos mensuales se calcula sobre 26 días laborables al mes (lunes a sábado) representativos de la operación en Bogotá D.C.</w:t>
        <w:br/>
        <w:t>3. Efectividad del Modelo Edge OCR: Se asume que el 85% de las guías físicas fotografiadas tienen suficiente calidad para ser procesadas por Google ML Kit en el dispositivo móvil, requiriendo solo un 15% de fallback hacia la API cloud.</w:t>
        <w:br/>
        <w:t>4. Homogeneidad de Hardware: Cada instancia horizontal I posee idéntica capacidad nominal de cómputo y memoria.</w:t>
      </w:r>
    </w:p>
    <w:p>
      <w:pPr>
        <w:pStyle w:val="Heading2"/>
      </w:pPr>
      <w:r>
        <w:t>6.2 Limitaciones Reconocidas</w:t>
      </w:r>
    </w:p>
    <w:p>
      <w:r>
        <w:t>1. Modelo Analítico vs. Simulación Estocástica: El simulador emplea soluciones analíticas cerradas en estado estacionario (colas M/G/1) en lugar de una simulación de eventos discretos a nivel de paquetes TCP. No modela micro-pérdidas de cobertura celular en túneles o sótanos de la ciudad.</w:t>
        <w:br/>
        <w:t>2. Valores Medios frente a Percentiles Extremos: Las fórmulas computan latencias medias ponderadas; en un entorno productivo real pueden existir distribuciones de cola larga con percentiles p95 y p99 más dispersos.</w:t>
        <w:br/>
        <w:t>3. Precios de Referencia Estáticos: Los costos de cómputo VPS y tarifas de API son promedios de mercado que pueden variar ante fluctuaciones en la tasa de cambio peso colombiano frente al dólar (TRM).</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36" w:space="0" w:color="B91C1C"/>
              <w:bottom w:val="none"/>
              <w:right w:val="none"/>
            </w:tcBorders>
          </w:tcPr>
          <w:p>
            <w:pPr>
              <w:spacing w:before="40" w:after="60" w:line="276" w:lineRule="auto"/>
            </w:pPr>
            <w:r>
              <w:rPr>
                <w:rFonts w:ascii="Calibri" w:hAnsi="Calibri"/>
                <w:b/>
                <w:color w:val="065F46"/>
                <w:sz w:val="20"/>
              </w:rPr>
              <w:t xml:space="preserve">📌 DECLARACIÓN METODOLÓGICA OBLIGATORIA: </w:t>
            </w:r>
            <w:r>
              <w:rPr>
                <w:rFonts w:ascii="Calibri" w:hAnsi="Calibri"/>
                <w:color w:val="1E293B"/>
                <w:sz w:val="19"/>
              </w:rPr>
              <w:t>Declaración de Alcance (Requisito 12): Los resultados numéricos generados por el simulador son estimaciones matemáticas derivadas de modelos científicos y no constituyen mediciones físicas en tiempo real de servidores. Para validar estas conclusiones en una implementación productiva de EnRuta, se requeriría ejecutar pruebas de carga controladas con Apache JMeter sobre escenarios parametrizados (.jmx), instrumentar trazas distribuidas con New Relic / OpenTelemetry, recolectar métricas de contenedores con Prometheus + Grafana y calcular la mediana de al menos 30 corridas independientes.</w:t>
            </w:r>
          </w:p>
        </w:tc>
      </w:tr>
    </w:tbl>
    <w:p>
      <w:pPr>
        <w:spacing w:before="0" w:after="80"/>
      </w:pPr>
    </w:p>
    <w:p/>
    <w:p>
      <w:pPr>
        <w:pStyle w:val="Heading1"/>
      </w:pPr>
      <w:r>
        <w:rPr>
          <w:rFonts w:ascii="Calibri" w:hAnsi="Calibri"/>
          <w:color w:val="065F46"/>
          <w:sz w:val="26"/>
        </w:rPr>
        <w:t>7. Referencias Científicas y Bibliográficas</w:t>
      </w:r>
    </w:p>
    <w:p>
      <w:pPr>
        <w:pStyle w:val="ListBullet"/>
      </w:pPr>
      <w:r>
        <w:t>Sunardi, A., &amp; Suharjito. (2019). MVC Architecture: A Comparative Study Between Laravel Framework and Slim Framework in Freelancer Project Monitoring System Web Based. Procedia Computer Science, 157, 134–141. https://doi.org/10.1016/j.procs.2019.08.150</w:t>
      </w:r>
    </w:p>
    <w:p>
      <w:pPr>
        <w:pStyle w:val="ListBullet"/>
      </w:pPr>
      <w:r>
        <w:t>Tapia, F., Mora, M. Á., Fuertes, W., Aules, H., Flores, E., &amp; Toulkeridis, T. (2020). From Monolithic Systems to Microservices: A Comparative Study of Performance. Applied Sciences, 10(17), 5797. https://doi.org/10.3390/app10175797</w:t>
      </w:r>
    </w:p>
    <w:p>
      <w:pPr>
        <w:pStyle w:val="ListBullet"/>
      </w:pPr>
      <w:r>
        <w:t>Blinowski, G., Ojdowska, A., &amp; Przybyłek, A. (2022). Monolithic vs. Microservice Architecture: A Performance and Scalability Evaluation. IEEE Access, 10, 20357–20374. https://doi.org/10.1109/ACCESS.2022.3152803</w:t>
      </w:r>
    </w:p>
    <w:p>
      <w:pPr>
        <w:pStyle w:val="ListBullet"/>
      </w:pPr>
      <w:r>
        <w:t>Al-Debagy, O., &amp; Martinek, P. (2018). A Comparative Review of Microservices and Monolithic Architectures. In 2018 IEEE 18th International Symposium on Computational Intelligence and Informatics (CINTI) (pp. 149–154). IEEE. https://doi.org/10.1109/CINTI.2018.8928192</w:t>
      </w:r>
    </w:p>
    <w:p>
      <w:pPr>
        <w:pStyle w:val="ListBullet"/>
      </w:pPr>
      <w:r>
        <w:t>Satyanarayanan, M. (2017). The Emergence of Edge Computing. Computer (IEEE), 50(1), 30–39. https://doi.org/10.1109/MC.2017.9</w:t>
      </w:r>
    </w:p>
    <w:p>
      <w:pPr>
        <w:pStyle w:val="ListBullet"/>
      </w:pPr>
      <w:r>
        <w:t>Castro, P., Ishakian, V., Muthusamy, V., &amp; Slominski, A. (2019). The Rise of Serverless Computing. Communications of the ACM, 62(12), 44–54. https://doi.org/10.1145/3368454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