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/>
        <w:jc w:val="center"/>
      </w:pPr>
      <w:r>
        <w:rPr>
          <w:rFonts w:ascii="Aptos" w:hAnsi="Aptos" w:eastAsia="Microsoft YaHei"/>
          <w:b/>
          <w:color w:val="000000"/>
          <w:sz w:val="42"/>
        </w:rPr>
        <w:t>企业级 Agent 平台项目说明</w:t>
      </w:r>
    </w:p>
    <w:p>
      <w:pPr>
        <w:spacing w:after="280"/>
        <w:jc w:val="center"/>
      </w:pPr>
      <w:r>
        <w:rPr>
          <w:rFonts w:ascii="Aptos" w:hAnsi="Aptos" w:eastAsia="Microsoft YaHei"/>
          <w:b w:val="0"/>
          <w:color w:val="505050"/>
          <w:sz w:val="21"/>
        </w:rPr>
        <w:t>简历附件  项目定位  核心实现  可验证成果</w:t>
      </w:r>
    </w:p>
    <w:p>
      <w:pPr>
        <w:spacing w:before="0" w:after="200" w:line="300" w:lineRule="auto"/>
      </w:pPr>
      <w:r>
        <w:rPr>
          <w:rFonts w:ascii="Aptos" w:hAnsi="Aptos" w:eastAsia="Microsoft YaHei"/>
          <w:b w:val="0"/>
          <w:color w:val="000000"/>
          <w:sz w:val="21"/>
        </w:rPr>
        <w:t>项目结论：这是一个面向企业知识问答与受控业务自动化的多服务 Agent 平台。它不把 Agent 视为可任意调用模型和工具的聊天程序，而是把每一次执行约束为“已发布快照、最小权限、预算与审批、可追溯证据、可恢复状态”的受治理流程。平台同时提供业务用户 Workspace、专家 Review、运维 Console 以及可选 Desktop Connector。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767"/>
      </w:tblGrid>
      <w:tr>
        <w:tc>
          <w:tcPr>
            <w:tcW w:type="dxa" w:w="1701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00000"/>
                <w:sz w:val="19"/>
              </w:rPr>
              <w:t>项目名称</w:t>
            </w:r>
          </w:p>
        </w:tc>
        <w:tc>
          <w:tcPr>
            <w:tcW w:type="dxa" w:w="7767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企业级 Agent 执行与治理平台</w:t>
            </w:r>
          </w:p>
        </w:tc>
      </w:tr>
      <w:tr>
        <w:tc>
          <w:tcPr>
            <w:tcW w:type="dxa" w:w="1701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00000"/>
                <w:sz w:val="19"/>
              </w:rPr>
              <w:t>项目类型</w:t>
            </w:r>
          </w:p>
        </w:tc>
        <w:tc>
          <w:tcPr>
            <w:tcW w:type="dxa" w:w="7767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A"/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多服务 Agent Platform / Agent Runtime / RAG / Governance</w:t>
            </w:r>
          </w:p>
        </w:tc>
      </w:tr>
      <w:tr>
        <w:tc>
          <w:tcPr>
            <w:tcW w:type="dxa" w:w="1701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00000"/>
                <w:sz w:val="19"/>
              </w:rPr>
              <w:t>代码仓库</w:t>
            </w:r>
          </w:p>
        </w:tc>
        <w:tc>
          <w:tcPr>
            <w:tcW w:type="dxa" w:w="7767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github.com/teacherMaostudent/agent</w:t>
            </w:r>
          </w:p>
        </w:tc>
      </w:tr>
      <w:tr>
        <w:tc>
          <w:tcPr>
            <w:tcW w:type="dxa" w:w="1701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00000"/>
                <w:sz w:val="19"/>
              </w:rPr>
              <w:t>核心技术</w:t>
            </w:r>
          </w:p>
        </w:tc>
        <w:tc>
          <w:tcPr>
            <w:tcW w:type="dxa" w:w="7767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A"/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Python 3.12、FastAPI、Java 21 / Spring Boot、LangGraph、Temporal、PostgreSQL、Redis、Kafka Connect / Debezium、OpenSearch、Docker Compose、Electron + React</w:t>
            </w:r>
          </w:p>
        </w:tc>
      </w:tr>
      <w:tr>
        <w:tc>
          <w:tcPr>
            <w:tcW w:type="dxa" w:w="1701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00000"/>
                <w:sz w:val="19"/>
              </w:rPr>
              <w:t>产品形态</w:t>
            </w:r>
          </w:p>
        </w:tc>
        <w:tc>
          <w:tcPr>
            <w:tcW w:type="dxa" w:w="7767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Web Workspace / Review / Console，受控 Desktop Workbench，可选 Agent Lab、Model Lab、Knowledge Wiki</w:t>
            </w:r>
          </w:p>
        </w:tc>
      </w:tr>
      <w:tr>
        <w:tc>
          <w:tcPr>
            <w:tcW w:type="dxa" w:w="1701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00000"/>
                <w:sz w:val="19"/>
              </w:rPr>
              <w:t>验证状态</w:t>
            </w:r>
          </w:p>
        </w:tc>
        <w:tc>
          <w:tcPr>
            <w:tcW w:type="dxa" w:w="7767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A"/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跨服务 E2E、本机检索链路、服务级单元测试、Web 与 Desktop 交互测试均已纳入仓库脚本</w:t>
            </w:r>
          </w:p>
        </w:tc>
      </w:tr>
    </w:tbl>
    <w:p>
      <w:pPr>
        <w:spacing w:before="0" w:after="40" w:line="300" w:lineRule="auto"/>
      </w:pP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28"/>
        </w:rPr>
        <w:t>1 项目背景与目标</w:t>
      </w:r>
    </w:p>
    <w:p>
      <w:pPr>
        <w:spacing w:before="0" w:after="120" w:line="300" w:lineRule="auto"/>
      </w:pPr>
      <w:r>
        <w:rPr>
          <w:rFonts w:ascii="Aptos" w:hAnsi="Aptos" w:eastAsia="Microsoft YaHei"/>
          <w:b w:val="0"/>
          <w:color w:val="000000"/>
          <w:sz w:val="21"/>
        </w:rPr>
        <w:t>传统 Agent 原型通常将 Prompt、模型调用、工具调用和业务状态放在单个进程中，因此很难回答“本次任务使用了哪个发布版本、为什么允许调用工具、失败后是否重复执行、谁可以审查或恢复任务”。本项目将定义、发布、执行、检索、模型、工具与治理拆成独立边界，使一个企业能够运行多个业务 Agent，同时保持各自的知识源、数据域、权限、预算、审批规则和发布节奏。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000000"/>
          <w:sz w:val="20"/>
        </w:rPr>
        <w:t>将 Agent Draft 校验并冻结为 Agent Version，再编译为不可变 Runtime Snapshot；Runtime 仅加载内容哈希一致的执行工件。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000000"/>
          <w:sz w:val="20"/>
        </w:rPr>
        <w:t>将模型能力限制为受控 Proposal；真正的工具执行仍必须经过发布 Tool Catalog、权限、审批、预算、幂等和副作用屏障。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000000"/>
          <w:sz w:val="20"/>
        </w:rPr>
        <w:t>把 Run、Session、Trace、Artifact、Evidence、Snapshot、Release 等事实通过稳定 ID 和 Session Ledger 串联，支持审查、恢复、取消与回放。</w:t>
      </w: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28"/>
        </w:rPr>
        <w:t>2 系统架构与服务边界</w:t>
      </w:r>
    </w:p>
    <w:p>
      <w:pPr>
        <w:spacing w:before="0" w:after="120" w:line="300" w:lineRule="auto"/>
      </w:pPr>
      <w:r>
        <w:rPr>
          <w:rFonts w:ascii="Aptos" w:hAnsi="Aptos" w:eastAsia="Microsoft YaHei"/>
          <w:b w:val="0"/>
          <w:color w:val="000000"/>
          <w:sz w:val="21"/>
        </w:rPr>
        <w:t>平台采用控制面、执行面、知识面、模型面、工具面与治理面分离的架构。Web BFF 是浏览器唯一入口，Desktop 是可选的本机受控连接器；二者都不直接获得数据库、模型厂商或工具系统的高权限凭据。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654"/>
      </w:tblGrid>
      <w:tr>
        <w:tc>
          <w:tcPr>
            <w:tcW w:type="dxa" w:w="5100"/>
            <w:shd w:fill="17365D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服务域</w:t>
            </w:r>
          </w:p>
        </w:tc>
        <w:tc>
          <w:tcPr>
            <w:tcW w:type="dxa" w:w="5100"/>
            <w:shd w:fill="17365D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职责与边界</w:t>
            </w:r>
          </w:p>
        </w:tc>
      </w:tr>
      <w:tr>
        <w:tc>
          <w:tcPr>
            <w:tcW w:type="dxa" w:w="1814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/>
                <w:color w:val="000000"/>
                <w:sz w:val="18"/>
              </w:rPr>
              <w:t>Control Plane</w:t>
            </w:r>
          </w:p>
        </w:tc>
        <w:tc>
          <w:tcPr>
            <w:tcW w:type="dxa" w:w="7654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Agent Draft、Version、Release、Snapshot Compiler、Tool Catalog 与质量门禁。</w:t>
            </w:r>
          </w:p>
        </w:tc>
      </w:tr>
      <w:tr>
        <w:tc>
          <w:tcPr>
            <w:tcW w:type="dxa" w:w="1814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/>
                <w:color w:val="000000"/>
                <w:sz w:val="18"/>
              </w:rPr>
              <w:t>Agent Runtime</w:t>
            </w:r>
          </w:p>
        </w:tc>
        <w:tc>
          <w:tcPr>
            <w:tcW w:type="dxa" w:w="7654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Harness 生命周期门面、Planner、LangGraph/Temporal 执行、预算、审批、Run/Session 状态。</w:t>
            </w:r>
          </w:p>
        </w:tc>
      </w:tr>
      <w:tr>
        <w:tc>
          <w:tcPr>
            <w:tcW w:type="dxa" w:w="1814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/>
                <w:color w:val="000000"/>
                <w:sz w:val="18"/>
              </w:rPr>
              <w:t>Context 与 RAG</w:t>
            </w:r>
          </w:p>
        </w:tc>
        <w:tc>
          <w:tcPr>
            <w:tcW w:type="dxa" w:w="7654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历史消息与 Token Budget、摄取、版本化索引、ACL 混合检索、Evidence 验证与降级。</w:t>
            </w:r>
          </w:p>
        </w:tc>
      </w:tr>
      <w:tr>
        <w:tc>
          <w:tcPr>
            <w:tcW w:type="dxa" w:w="1814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/>
                <w:color w:val="000000"/>
                <w:sz w:val="18"/>
              </w:rPr>
              <w:t>LLM Gateway</w:t>
            </w:r>
          </w:p>
        </w:tc>
        <w:tc>
          <w:tcPr>
            <w:tcW w:type="dxa" w:w="7654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多供应商路由、版本冻结、限流、熔断、配额与成本计量。</w:t>
            </w:r>
          </w:p>
        </w:tc>
      </w:tr>
      <w:tr>
        <w:tc>
          <w:tcPr>
            <w:tcW w:type="dxa" w:w="1814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/>
                <w:color w:val="000000"/>
                <w:sz w:val="18"/>
              </w:rPr>
              <w:t>Tool Gateway</w:t>
            </w:r>
          </w:p>
        </w:tc>
        <w:tc>
          <w:tcPr>
            <w:tcW w:type="dxa" w:w="7654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工具资产运行投影、参数 Schema、权限、审批、幂等与安全执行。</w:t>
            </w:r>
          </w:p>
        </w:tc>
      </w:tr>
      <w:tr>
        <w:tc>
          <w:tcPr>
            <w:tcW w:type="dxa" w:w="1814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/>
                <w:color w:val="000000"/>
                <w:sz w:val="18"/>
              </w:rPr>
              <w:t>Governance</w:t>
            </w:r>
          </w:p>
        </w:tc>
        <w:tc>
          <w:tcPr>
            <w:tcW w:type="dxa" w:w="7654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7FA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评测、专家校准、发布门禁、在线治理、审计、DLQ 与 WORM 导出。</w:t>
            </w:r>
          </w:p>
        </w:tc>
      </w:tr>
      <w:tr>
        <w:tc>
          <w:tcPr>
            <w:tcW w:type="dxa" w:w="1814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/>
                <w:color w:val="000000"/>
                <w:sz w:val="18"/>
              </w:rPr>
              <w:t>Knowledge Wiki</w:t>
            </w:r>
          </w:p>
        </w:tc>
        <w:tc>
          <w:tcPr>
            <w:tcW w:type="dxa" w:w="7654"/>
            <w:tcBorders>
              <w:top w:val="single" w:sz="4" w:color="D9E1F2"/>
              <w:left w:val="single" w:sz="4" w:color="D9E1F2"/>
              <w:bottom w:val="single" w:sz="4" w:color="D9E1F2"/>
              <w:right w:val="single" w:sz="4" w:color="D9E1F2"/>
              <w:insideH w:val="single" w:sz="4" w:color="D9E1F2"/>
              <w:insideV w:val="single" w:sz="4" w:color="D9E1F2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把受控证据和人工结论编译为可追溯、可升级的组织知识。</w:t>
            </w:r>
          </w:p>
        </w:tc>
      </w:tr>
    </w:tbl>
    <w:p>
      <w:pPr>
        <w:spacing w:before="0" w:after="40" w:line="300" w:lineRule="auto"/>
      </w:pP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28"/>
        </w:rPr>
        <w:t>3 核心技术实现</w:t>
      </w:r>
    </w:p>
    <w:p>
      <w:pPr>
        <w:pStyle w:val="Heading2"/>
        <w:spacing w:before="160" w:after="100"/>
      </w:pPr>
      <w:r>
        <w:rPr>
          <w:rFonts w:ascii="Aptos" w:hAnsi="Aptos" w:eastAsia="Microsoft YaHei"/>
          <w:b/>
          <w:color w:val="000000"/>
          <w:sz w:val="23"/>
        </w:rPr>
        <w:t>3.1 发布快照与执行计划</w:t>
      </w:r>
    </w:p>
    <w:p>
      <w:pPr>
        <w:spacing w:before="0" w:after="120" w:line="300" w:lineRule="auto"/>
      </w:pPr>
      <w:r>
        <w:rPr>
          <w:rFonts w:ascii="Aptos" w:hAnsi="Aptos" w:eastAsia="Microsoft YaHei"/>
          <w:b w:val="0"/>
          <w:color w:val="000000"/>
          <w:sz w:val="21"/>
        </w:rPr>
        <w:t>Control Plane 在发布期校验 Agent Spec、Graph 条件、Tool Catalog 版本、模型路由、检索/Embedding Contract、目标 Runtime Capability Manifest 与质量门禁。通过后生成不可变 Snapshot Artifact。Runtime 对缺失、漂移、能力越权或哈希不一致的快照失败关闭，使线上运行不再临时解释可变 Draft。</w:t>
      </w:r>
    </w:p>
    <w:p>
      <w:pPr>
        <w:pStyle w:val="Heading2"/>
        <w:spacing w:before="160" w:after="100"/>
      </w:pPr>
      <w:r>
        <w:rPr>
          <w:rFonts w:ascii="Aptos" w:hAnsi="Aptos" w:eastAsia="Microsoft YaHei"/>
          <w:b/>
          <w:color w:val="000000"/>
          <w:sz w:val="23"/>
        </w:rPr>
        <w:t>3.2 Harness 与 Runtime 状态机</w:t>
      </w:r>
    </w:p>
    <w:p>
      <w:pPr>
        <w:spacing w:before="0" w:after="120" w:line="300" w:lineRule="auto"/>
      </w:pPr>
      <w:r>
        <w:rPr>
          <w:rFonts w:ascii="Aptos" w:hAnsi="Aptos" w:eastAsia="Microsoft YaHei"/>
          <w:b w:val="0"/>
          <w:color w:val="000000"/>
          <w:sz w:val="21"/>
        </w:rPr>
        <w:t>Harness 被严格限制为 resolveRelease、loadSnapshot、createExecutionContext、resolveExecutor、run、resume、cancel 七项生命周期操作。Planner、Prompt Assembly、RAG、模型路由、工具鉴权和业务逻辑留在各自服务与 LangGraph 执行图中，避免 Harness 演化成无法治理的万能服务。短任务、受控 Agent Loop、声明式 LangGraph 与长期 Temporal Workflow 通过 Executor Profile 选择，并共享状态、预算、审批、取消和审计语义。</w:t>
      </w:r>
    </w:p>
    <w:p>
      <w:pPr>
        <w:pStyle w:val="Heading2"/>
        <w:spacing w:before="160" w:after="100"/>
      </w:pPr>
      <w:r>
        <w:rPr>
          <w:rFonts w:ascii="Aptos" w:hAnsi="Aptos" w:eastAsia="Microsoft YaHei"/>
          <w:b/>
          <w:color w:val="000000"/>
          <w:sz w:val="23"/>
        </w:rPr>
        <w:t>3.3 企业 RAG 与 Evidence 链路</w:t>
      </w:r>
    </w:p>
    <w:p>
      <w:pPr>
        <w:spacing w:before="0" w:after="120" w:line="300" w:lineRule="auto"/>
      </w:pPr>
      <w:r>
        <w:rPr>
          <w:rFonts w:ascii="Aptos" w:hAnsi="Aptos" w:eastAsia="Microsoft YaHei"/>
          <w:b w:val="0"/>
          <w:color w:val="000000"/>
          <w:sz w:val="21"/>
        </w:rPr>
        <w:t>RAG 将候选检索与最终 Evidence 分离：Query Planner 生成受 Profile 限制的改写，BM25 与向量通道独立召回并以 RRF 融合，之后经过重排、ACL、来源状态、时效性、索引版本、Embedding Contract、内容摘要与 Prompt 注入检查，才允许投影给 Context 和 LLM。OpenSearch 本机 Profile 已验证“上传 - 摄取 Worker - 版本化索引 - 原生 kNN ACL 过滤 - Evidence 返回”的真实路径；语义缓存以租户、主体权限摘要和冻结检索契约分区。</w:t>
      </w:r>
    </w:p>
    <w:p>
      <w:pPr>
        <w:pStyle w:val="Heading2"/>
        <w:spacing w:before="160" w:after="100"/>
      </w:pPr>
      <w:r>
        <w:rPr>
          <w:rFonts w:ascii="Aptos" w:hAnsi="Aptos" w:eastAsia="Microsoft YaHei"/>
          <w:b/>
          <w:color w:val="000000"/>
          <w:sz w:val="23"/>
        </w:rPr>
        <w:t>3.4 工具执行与副作用安全</w:t>
      </w:r>
    </w:p>
    <w:p>
      <w:pPr>
        <w:spacing w:before="0" w:after="120" w:line="300" w:lineRule="auto"/>
      </w:pPr>
      <w:r>
        <w:rPr>
          <w:rFonts w:ascii="Aptos" w:hAnsi="Aptos" w:eastAsia="Microsoft YaHei"/>
          <w:b w:val="0"/>
          <w:color w:val="000000"/>
          <w:sz w:val="21"/>
        </w:rPr>
        <w:t>Runtime 记录 Tool Proposal、Reference Monitor、Capability Evaluator、Policy Evaluator、Tool Gateway、Tool Observation 与 Evidence/Context Projection 的链路。Tool Gateway 只执行版本化目录中的工具，负责参数 Schema、调用者权限、审批、资源锁、幂等键、重试语义与审计事件。受控 `controlled_scan` 工具仅可扫描预注册 Scope，结果脱敏、限长且作为不可信数据进入 Prompt，避免将工具输出误作系统指令。</w:t>
      </w:r>
    </w:p>
    <w:p>
      <w:pPr>
        <w:pStyle w:val="Heading2"/>
        <w:spacing w:before="160" w:after="100"/>
      </w:pPr>
      <w:r>
        <w:rPr>
          <w:rFonts w:ascii="Aptos" w:hAnsi="Aptos" w:eastAsia="Microsoft YaHei"/>
          <w:b/>
          <w:color w:val="000000"/>
          <w:sz w:val="23"/>
        </w:rPr>
        <w:t>3.5 治理、评测与知识升级</w:t>
      </w:r>
    </w:p>
    <w:p>
      <w:pPr>
        <w:spacing w:before="0" w:after="120" w:line="300" w:lineRule="auto"/>
      </w:pPr>
      <w:r>
        <w:rPr>
          <w:rFonts w:ascii="Aptos" w:hAnsi="Aptos" w:eastAsia="Microsoft YaHei"/>
          <w:b w:val="0"/>
          <w:color w:val="000000"/>
          <w:sz w:val="21"/>
        </w:rPr>
        <w:t>Governance 将 Golden Case、专家标注、Judge 校准、RAG Recall@K / MRR / nDCG、引用正确性、Faithfulness、按风险分组 Hard Gate 与 Prompt 注入红队纳入发布决策。业务状态与 Transactional Outbox 在同一事务写入，Debezium / Kafka Connect 负责可靠投递，Governance 以幂等消费者、DLQ、WORM 导出处理异步审计。Knowledge Wiki 将经人工确认的 Evidence、结论与审查结果升级为具备来源、冲突、过期和 supersede 关系的组织知识。</w:t>
      </w: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28"/>
        </w:rPr>
        <w:t>4 个人工作与工程成果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000000"/>
          <w:sz w:val="20"/>
        </w:rPr>
        <w:t>主导平台级架构收敛：将 Runtime 从 RAG 应用包中物理拆出，抽取 platform-sdk 契约、身份、Tracing、HTTP Client、脱敏与错误模型，消除服务间直接 import。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000000"/>
          <w:sz w:val="20"/>
        </w:rPr>
        <w:t>设计并实现 Snapshot Compiler、受限 Graph/Condition 校验、Executor Catalog、Harness 窄接口和 LangGraph/Temporal 双执行路径，形成可恢复的 Agent 生命周期。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000000"/>
          <w:sz w:val="20"/>
        </w:rPr>
        <w:t>补齐受控 RAG：Embedding Provider/Contract、Query Planner、混合检索、OpenSearch 版本化索引、Evidence Verifier、语义缓存、Source Lifecycle、全库重建 Manifest 与检索质量门禁。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000000"/>
          <w:sz w:val="20"/>
        </w:rPr>
        <w:t>构建 Web Workspace、Review、Console 的权限投影与 Desktop Workbench；覆盖任务、证据、计划、审批、工具观察、成本、审计、租户/用户/角色管理和本机 Connector 场景。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000000"/>
          <w:sz w:val="20"/>
        </w:rPr>
        <w:t>补齐生产工程基线：PostgreSQL、Redis、Temporal、Kafka Connect / Debezium、对象存储/WORM、OIDC、mTLS、OPA、可观测性、生产模板、启动/验收脚本和跨区域演练 Runbook。</w:t>
      </w: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28"/>
        </w:rPr>
        <w:t>5 可演示与可验证成果</w:t>
      </w:r>
    </w:p>
    <w:p>
      <w:pPr>
        <w:spacing w:before="0" w:after="120" w:line="300" w:lineRule="auto"/>
      </w:pPr>
      <w:r>
        <w:rPr>
          <w:rFonts w:ascii="Aptos" w:hAnsi="Aptos" w:eastAsia="Microsoft YaHei"/>
          <w:b w:val="0"/>
          <w:color w:val="000000"/>
          <w:sz w:val="21"/>
        </w:rPr>
        <w:t>项目不以“容器能启动”作为完成标准，而是保留了从 API 到 UI、从摄取到检索、从发布到治理的验证路径。当前仓库包含平台 E2E、RAG 本机场景、服务级测试、Web 页面测试、Desktop 类型检查和交互测试；最近一次完整回归覆盖 Runtime、Control Plane、Governance、RAG、Web BFF、Knowledge Wiki、Web 与 Desktop，累计 300 余项自动化验证。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000000"/>
          <w:sz w:val="20"/>
        </w:rPr>
        <w:t>业务用户：在 Workspace 提交任务，查看最终结论、Evidence、Artifact、审批状态和有限的运行摘要。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000000"/>
          <w:sz w:val="20"/>
        </w:rPr>
        <w:t>专家审查：在 Review 查看冻结计划、证据标识、风险与任务指派，完成审查结论或审批决策。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000000"/>
          <w:sz w:val="20"/>
        </w:rPr>
        <w:t>平台管理员：在 Console 管理租户/用户授权、Agent Version、Release、模型路由、配额、审计导出与服务健康。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000000"/>
          <w:sz w:val="20"/>
        </w:rPr>
        <w:t>本机连接器：在 Desktop 选择受控目录并执行 approved scope 的扫描，结果经审批后可进入摄取与知识生命周期。</w:t>
      </w: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28"/>
        </w:rPr>
        <w:t>6 生产化边界与下一步</w:t>
      </w:r>
    </w:p>
    <w:p>
      <w:pPr>
        <w:spacing w:before="0" w:after="120" w:line="300" w:lineRule="auto"/>
      </w:pPr>
      <w:r>
        <w:rPr>
          <w:rFonts w:ascii="Aptos" w:hAnsi="Aptos" w:eastAsia="Microsoft YaHei"/>
          <w:b w:val="0"/>
          <w:color w:val="000000"/>
          <w:sz w:val="21"/>
        </w:rPr>
        <w:t>仓库已经提供生产 Compose 模板、配置说明书、OIDC/mTLS/CDC/Temporal/OpenSearch 的代码路径和静态就绪检查，但真实生产并不等于运行该模板。上线仍需要企业实际提供 IdP、证书签发与轮换、Secret Manager、受管数据库和队列、KMS、对象存储保留策略、NetworkPolicy、容量压测、备份恢复以及跨区域故障演练。项目文档明确区分了“已在代码与本机场景验证的能力”和“必须由环境完成的基础设施验收”，避免将演示配置包装为生产结论。</w:t>
      </w:r>
    </w:p>
    <w:p>
      <w:pPr>
        <w:pStyle w:val="Heading1"/>
        <w:spacing w:before="240" w:after="100"/>
      </w:pPr>
      <w:r>
        <w:rPr>
          <w:rFonts w:ascii="Aptos" w:hAnsi="Aptos" w:eastAsia="Microsoft YaHei"/>
          <w:b/>
          <w:color w:val="000000"/>
          <w:sz w:val="28"/>
        </w:rPr>
        <w:t>7 项目价值</w:t>
      </w:r>
    </w:p>
    <w:p>
      <w:pPr>
        <w:spacing w:before="0" w:after="120" w:line="300" w:lineRule="auto"/>
      </w:pPr>
      <w:r>
        <w:rPr>
          <w:rFonts w:ascii="Aptos" w:hAnsi="Aptos" w:eastAsia="Microsoft YaHei"/>
          <w:b w:val="0"/>
          <w:color w:val="000000"/>
          <w:sz w:val="21"/>
        </w:rPr>
        <w:t>该项目的价值不在于再封装一个模型调用接口，而在于建立可解释、可恢复、可审计、可发布和可运营的 Agent 执行平台。它为多业务 Agent 提供共享而不混淆的运行内核、知识检索、工具边界和治理体系，也为进一步接入自部署模型、行业 Skill、更多工具适配器和多区域运行集群保留了清晰的扩展边界。</w:t>
      </w:r>
    </w:p>
    <w:sectPr w:rsidR="00FC693F" w:rsidRPr="0006063C" w:rsidSect="00034616">
      <w:footerReference w:type="default" r:id="rId9"/>
      <w:pgSz w:w="12240" w:h="15840"/>
      <w:pgMar w:top="964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646464"/>
        <w:sz w:val="17"/>
      </w:rPr>
      <w:t>企业级 Agent 平台项目说明  |  github.com/teacherMaostudent/agent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