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Pr>
      <w:r>
        <w:rPr>
          <w:rFonts w:ascii="Aptos" w:hAnsi="Aptos" w:eastAsia="Microsoft YaHei"/>
          <w:b/>
          <w:color w:val="000000"/>
          <w:sz w:val="40"/>
        </w:rPr>
        <w:t>集思科技 AI 销售运营团队落地计划书</w:t>
      </w:r>
    </w:p>
    <w:p>
      <w:pPr>
        <w:spacing w:after="280"/>
        <w:jc w:val="center"/>
      </w:pPr>
      <w:r>
        <w:rPr>
          <w:rFonts w:ascii="Aptos" w:hAnsi="Aptos" w:eastAsia="Microsoft YaHei"/>
          <w:b w:val="0"/>
          <w:color w:val="555555"/>
          <w:sz w:val="21"/>
        </w:rPr>
        <w:t>从数字人直播能力升级到受治理的多 Agent 销售与运营闭环</w:t>
      </w:r>
    </w:p>
    <w:p>
      <w:pPr>
        <w:spacing w:before="0" w:after="200" w:line="307" w:lineRule="auto"/>
      </w:pPr>
      <w:r>
        <w:rPr>
          <w:rFonts w:ascii="Aptos" w:hAnsi="Aptos" w:eastAsia="Microsoft YaHei"/>
          <w:b w:val="0"/>
          <w:color w:val="000000"/>
          <w:sz w:val="20"/>
        </w:rPr>
        <w:t>建议结论：以一个品牌、一个直播平台、一个高频品类为试点，将现有数字人直播能力与企业级 Agent Platform 连接，先验证“商品问答准确、合规可控、运营可复盘”的最小闭环，再逐步扩展到上新、开播和复盘的多 Agent 协作。该方案不替换数字人能力，而是为数字人增加可追溯的知识、决策、工具和治理底座。</w:t>
      </w:r>
    </w:p>
    <w:tbl>
      <w:tblPr>
        <w:tblW w:type="auto" w:w="0"/>
        <w:jc w:val="center"/>
        <w:tblLayout w:type="fixed"/>
        <w:tblLook w:firstColumn="1" w:firstRow="1" w:lastColumn="0" w:lastRow="0" w:noHBand="0" w:noVBand="1" w:val="04A0"/>
      </w:tblPr>
      <w:tblGrid>
        <w:gridCol w:w="1757"/>
        <w:gridCol w:w="7710"/>
      </w:tblGrid>
      <w:tr>
        <w:tc>
          <w:tcPr>
            <w:tcW w:type="dxa" w:w="51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项目项</w:t>
            </w:r>
          </w:p>
        </w:tc>
        <w:tc>
          <w:tcPr>
            <w:tcW w:type="dxa" w:w="51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建议内容</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目标客户场景</w:t>
            </w:r>
          </w:p>
        </w:tc>
        <w:tc>
          <w:tcPr>
            <w:tcW w:type="dxa" w:w="771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品牌数字人直播：多 SKU 讲解、实时互动问答、活动与价格变更、客服协同、运营复盘。</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试点目标</w:t>
            </w:r>
          </w:p>
        </w:tc>
        <w:tc>
          <w:tcPr>
            <w:tcW w:type="dxa" w:w="771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在受控品牌和品类中验证商品知识准确性、合规拦截、响应时延、人工运营节省与可追溯复盘。</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推荐周期</w:t>
            </w:r>
          </w:p>
        </w:tc>
        <w:tc>
          <w:tcPr>
            <w:tcW w:type="dxa" w:w="771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约 16 周完成从数据接入、离线回放到小流量直播间试点；每阶段均设继续、调整或停止门槛。</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平台基础</w:t>
            </w:r>
          </w:p>
        </w:tc>
        <w:tc>
          <w:tcPr>
            <w:tcW w:type="dxa" w:w="771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复用现有企业级 Agent Platform：Release/Snapshot、Runtime、RAG/Evidence、LLM/Tool Gateway、Governance、Web Review/Console。</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上线原则</w:t>
            </w:r>
          </w:p>
        </w:tc>
        <w:tc>
          <w:tcPr>
            <w:tcW w:type="dxa" w:w="771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先 Shadow、后 Canary；先只读知识与建议、再有限自动化；模型不能绕过价格、库存、合规与人工审批。</w:t>
            </w:r>
          </w:p>
        </w:tc>
      </w:tr>
    </w:tbl>
    <w:p>
      <w:pPr>
        <w:spacing w:before="0" w:after="40" w:line="307" w:lineRule="auto"/>
      </w:pPr>
    </w:p>
    <w:p>
      <w:pPr>
        <w:pStyle w:val="Heading1"/>
        <w:spacing w:before="280" w:after="100"/>
      </w:pPr>
      <w:r>
        <w:rPr>
          <w:rFonts w:ascii="Aptos" w:hAnsi="Aptos" w:eastAsia="Microsoft YaHei"/>
          <w:b/>
          <w:color w:val="000000"/>
          <w:sz w:val="28"/>
        </w:rPr>
        <w:t>1 业务机会与问题定义</w:t>
      </w:r>
    </w:p>
    <w:p>
      <w:pPr>
        <w:spacing w:before="0" w:after="120" w:line="307" w:lineRule="auto"/>
      </w:pPr>
      <w:r>
        <w:rPr>
          <w:rFonts w:ascii="Aptos" w:hAnsi="Aptos" w:eastAsia="Microsoft YaHei"/>
          <w:b w:val="0"/>
          <w:color w:val="000000"/>
          <w:sz w:val="20"/>
        </w:rPr>
        <w:t>集思科技官网已呈现数字人直播、品牌知识库、实时互动问答、多产品切换和开播前、中、后运营服务；公开资料也显示其电商数字人直播大模型和服务已覆盖大量品牌与多个消费品赛道。方案的机会不在于重复建设数字人，而在于将单一 AI 主播升级为可协作、可审查、可复盘的 AI 销售运营团队。</w:t>
      </w:r>
    </w:p>
    <w:p>
      <w:pPr>
        <w:pStyle w:val="ListBullet"/>
        <w:spacing w:after="60" w:line="276" w:lineRule="auto"/>
      </w:pPr>
      <w:r>
        <w:rPr>
          <w:rFonts w:ascii="Aptos" w:hAnsi="Aptos" w:eastAsia="Microsoft YaHei"/>
          <w:b w:val="0"/>
          <w:color w:val="000000"/>
          <w:sz w:val="20"/>
        </w:rPr>
        <w:t>直播问答必须同时准确匹配 SKU、活动、库存/价格和品牌规则，不能只依赖模型记忆。</w:t>
      </w:r>
    </w:p>
    <w:p>
      <w:pPr>
        <w:pStyle w:val="ListBullet"/>
        <w:spacing w:after="60" w:line="276" w:lineRule="auto"/>
      </w:pPr>
      <w:r>
        <w:rPr>
          <w:rFonts w:ascii="Aptos" w:hAnsi="Aptos" w:eastAsia="Microsoft YaHei"/>
          <w:b w:val="0"/>
          <w:color w:val="000000"/>
          <w:sz w:val="20"/>
        </w:rPr>
        <w:t>夸大宣传、敏感宣称、平台规则冲突、过期活动与 SKU 串货属于可造成品牌风险的高优先级错误。</w:t>
      </w:r>
    </w:p>
    <w:p>
      <w:pPr>
        <w:pStyle w:val="ListBullet"/>
        <w:spacing w:after="60" w:line="276" w:lineRule="auto"/>
      </w:pPr>
      <w:r>
        <w:rPr>
          <w:rFonts w:ascii="Aptos" w:hAnsi="Aptos" w:eastAsia="Microsoft YaHei"/>
          <w:b w:val="0"/>
          <w:color w:val="000000"/>
          <w:sz w:val="20"/>
        </w:rPr>
        <w:t>上新、开播、监控、复盘仍需要在商品、内容、客服、运营、数据与合规角色间重复交接。</w:t>
      </w:r>
    </w:p>
    <w:p>
      <w:pPr>
        <w:pStyle w:val="ListBullet"/>
        <w:spacing w:after="60" w:line="276" w:lineRule="auto"/>
      </w:pPr>
      <w:r>
        <w:rPr>
          <w:rFonts w:ascii="Aptos" w:hAnsi="Aptos" w:eastAsia="Microsoft YaHei"/>
          <w:b w:val="0"/>
          <w:color w:val="000000"/>
          <w:sz w:val="20"/>
        </w:rPr>
        <w:t>模型、提示词、知识库或工具升级若无回放与门禁，问题往往只能在线上直播后才暴露。</w:t>
      </w:r>
    </w:p>
    <w:p>
      <w:pPr>
        <w:pStyle w:val="Heading1"/>
        <w:spacing w:before="280" w:after="100"/>
      </w:pPr>
      <w:r>
        <w:rPr>
          <w:rFonts w:ascii="Aptos" w:hAnsi="Aptos" w:eastAsia="Microsoft YaHei"/>
          <w:b/>
          <w:color w:val="000000"/>
          <w:sz w:val="28"/>
        </w:rPr>
        <w:t>2 目标产品形态</w:t>
      </w:r>
    </w:p>
    <w:p>
      <w:pPr>
        <w:spacing w:before="0" w:after="120" w:line="307" w:lineRule="auto"/>
      </w:pPr>
      <w:r>
        <w:rPr>
          <w:rFonts w:ascii="Aptos" w:hAnsi="Aptos" w:eastAsia="Microsoft YaHei"/>
          <w:b w:val="0"/>
          <w:color w:val="000000"/>
          <w:sz w:val="20"/>
        </w:rPr>
        <w:t>面向消费者的数字人主播继续承担“脸与嘴”的表达层；后台由受控多 Agent 协作系统提供商品事实、客服答案、内容建议、运营策略、数据洞察和合规拦截。所有 Agent 共享的是经过证据、来源、时效、权限和人工确认分级后的可信记忆，而不是任意模型输出。</w:t>
      </w:r>
    </w:p>
    <w:tbl>
      <w:tblPr>
        <w:tblW w:type="auto" w:w="0"/>
        <w:jc w:val="center"/>
        <w:tblLayout w:type="fixed"/>
        <w:tblLook w:firstColumn="1" w:firstRow="1" w:lastColumn="0" w:lastRow="0" w:noHBand="0" w:noVBand="1" w:val="04A0"/>
      </w:tblPr>
      <w:tblGrid>
        <w:gridCol w:w="1417"/>
        <w:gridCol w:w="3458"/>
        <w:gridCol w:w="4592"/>
      </w:tblGrid>
      <w:tr>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Agent</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输入与权限边界</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输出与人工控制</w:t>
            </w:r>
          </w:p>
        </w:tc>
      </w:tr>
      <w:tr>
        <w:tc>
          <w:tcPr>
            <w:tcW w:type="dxa" w:w="141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主播 Agent</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已批准话术、实时已验证 Evidence；不可直接读订单或改价格。</w:t>
            </w:r>
          </w:p>
        </w:tc>
        <w:tc>
          <w:tcPr>
            <w:tcW w:type="dxa" w:w="459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生成面向消费者的候选回复；高风险内容先过合规检查。</w:t>
            </w:r>
          </w:p>
        </w:tc>
      </w:tr>
      <w:tr>
        <w:tc>
          <w:tcPr>
            <w:tcW w:type="dxa" w:w="141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商品 Agent</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商品主数据、SKU 属性、官方说明、当前活动快照。</w:t>
            </w:r>
          </w:p>
        </w:tc>
        <w:tc>
          <w:tcPr>
            <w:tcW w:type="dxa" w:w="459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结构化商品事实与证据 ID；不自行发布价格/库存。</w:t>
            </w:r>
          </w:p>
        </w:tc>
      </w:tr>
      <w:tr>
        <w:tc>
          <w:tcPr>
            <w:tcW w:type="dxa" w:w="141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客服 Agent</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脱敏订单状态、物流/售后规则、标准问答。</w:t>
            </w:r>
          </w:p>
        </w:tc>
        <w:tc>
          <w:tcPr>
            <w:tcW w:type="dxa" w:w="459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客服建议；退款、补偿、订单写操作走 Tool Gateway 与审批。</w:t>
            </w:r>
          </w:p>
        </w:tc>
      </w:tr>
      <w:tr>
        <w:tc>
          <w:tcPr>
            <w:tcW w:type="dxa" w:w="141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内容与运营 Agent</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直播脚本、互动事件、聚合转化数据、排品策略。</w:t>
            </w:r>
          </w:p>
        </w:tc>
        <w:tc>
          <w:tcPr>
            <w:tcW w:type="dxa" w:w="459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话术和运营建议；策略变更保留原因、版本和人工确认。</w:t>
            </w:r>
          </w:p>
        </w:tc>
      </w:tr>
      <w:tr>
        <w:tc>
          <w:tcPr>
            <w:tcW w:type="dxa" w:w="141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数据 Agent</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匿名化互动、点击、转化、错误与延迟指标。</w:t>
            </w:r>
          </w:p>
        </w:tc>
        <w:tc>
          <w:tcPr>
            <w:tcW w:type="dxa" w:w="459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异常/高频问题检测和复盘报告；不读取个人敏感字段。</w:t>
            </w:r>
          </w:p>
        </w:tc>
      </w:tr>
      <w:tr>
        <w:tc>
          <w:tcPr>
            <w:tcW w:type="dxa" w:w="141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合规 Agent</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品牌规则、平台规则、合规词库、已确认坏例。</w:t>
            </w:r>
          </w:p>
        </w:tc>
        <w:tc>
          <w:tcPr>
            <w:tcW w:type="dxa" w:w="459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PASS / REWRITE / BLOCK；规则冲突或高风险场景升级人工。</w:t>
            </w:r>
          </w:p>
        </w:tc>
      </w:tr>
    </w:tbl>
    <w:p>
      <w:pPr>
        <w:spacing w:before="0" w:after="40" w:line="307" w:lineRule="auto"/>
      </w:pPr>
    </w:p>
    <w:p>
      <w:pPr>
        <w:pStyle w:val="Heading1"/>
        <w:spacing w:before="280" w:after="100"/>
      </w:pPr>
      <w:r>
        <w:rPr>
          <w:rFonts w:ascii="Aptos" w:hAnsi="Aptos" w:eastAsia="Microsoft YaHei"/>
          <w:b/>
          <w:color w:val="000000"/>
          <w:sz w:val="28"/>
        </w:rPr>
        <w:t>3 方案架构与现有平台映射</w:t>
      </w:r>
    </w:p>
    <w:p>
      <w:pPr>
        <w:spacing w:before="0" w:after="120" w:line="307" w:lineRule="auto"/>
      </w:pPr>
      <w:r>
        <w:rPr>
          <w:rFonts w:ascii="Aptos" w:hAnsi="Aptos" w:eastAsia="Microsoft YaHei"/>
          <w:b w:val="0"/>
          <w:color w:val="000000"/>
          <w:sz w:val="20"/>
        </w:rPr>
        <w:t>现有数字人、直播编排、商品/订单系统和数据看板保持为业务系统；企业级 Agent Platform 作为受控决策与治理层，以稳定 API、事件与权限连接。这样既不会让 Agent Runtime 替代交易系统，也不会让业务系统直接承担模型、工具和审计治理。</w:t>
      </w:r>
    </w:p>
    <w:tbl>
      <w:tblPr>
        <w:tblW w:type="auto" w:w="0"/>
        <w:jc w:val="center"/>
        <w:tblLayout w:type="fixed"/>
        <w:tblLook w:firstColumn="1" w:firstRow="1" w:lastColumn="0" w:lastRow="0" w:noHBand="0" w:noVBand="1" w:val="04A0"/>
      </w:tblPr>
      <w:tblGrid>
        <w:gridCol w:w="1757"/>
        <w:gridCol w:w="4082"/>
        <w:gridCol w:w="3628"/>
      </w:tblGrid>
      <w:tr>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能力层</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复用的平台能力</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集思侧需对接的系统</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定义与发布</w:t>
            </w:r>
          </w:p>
        </w:tc>
        <w:tc>
          <w:tcPr>
            <w:tcW w:type="dxa" w:w="408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Control Plane：Agent Spec、Tool Catalog、Release、不可变 Snapshot、质量门禁。</w:t>
            </w:r>
          </w:p>
        </w:tc>
        <w:tc>
          <w:tcPr>
            <w:tcW w:type="dxa" w:w="362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品牌/直播间配置、SKU 范围、规则版本、运营流程。</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实时执行</w:t>
            </w:r>
          </w:p>
        </w:tc>
        <w:tc>
          <w:tcPr>
            <w:tcW w:type="dxa" w:w="408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Runtime：Planner、LangGraph/Temporal、预算、审批、恢复、Session Ledger。</w:t>
            </w:r>
          </w:p>
        </w:tc>
        <w:tc>
          <w:tcPr>
            <w:tcW w:type="dxa" w:w="362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数字人驱动、直播事件、排品/活动编排、人工运营工作台。</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知识与记忆</w:t>
            </w:r>
          </w:p>
        </w:tc>
        <w:tc>
          <w:tcPr>
            <w:tcW w:type="dxa" w:w="408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RAG：摄取、版本化索引、ACL、Hybrid Retrieval、Evidence、Memory 分级。</w:t>
            </w:r>
          </w:p>
        </w:tc>
        <w:tc>
          <w:tcPr>
            <w:tcW w:type="dxa" w:w="362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PIM/商品库、CMS、活动中心、品牌资料、FAQ、客服规则。</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模型与工具</w:t>
            </w:r>
          </w:p>
        </w:tc>
        <w:tc>
          <w:tcPr>
            <w:tcW w:type="dxa" w:w="408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LLM Gateway：路由、配额、限流、成本、fallback；Tool Gateway：Schema、权限、幂等。</w:t>
            </w:r>
          </w:p>
        </w:tc>
        <w:tc>
          <w:tcPr>
            <w:tcW w:type="dxa" w:w="362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价格/库存查询、订单查询、直播控制、数据查询等企业 API。</w:t>
            </w:r>
          </w:p>
        </w:tc>
      </w:tr>
      <w:tr>
        <w:tc>
          <w:tcPr>
            <w:tcW w:type="dxa" w:w="175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治理与运营</w:t>
            </w:r>
          </w:p>
        </w:tc>
        <w:tc>
          <w:tcPr>
            <w:tcW w:type="dxa" w:w="4082"/>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Governance：Golden Dataset、校准、Shadow/Canary、审计、DLQ、WORM。</w:t>
            </w:r>
          </w:p>
        </w:tc>
        <w:tc>
          <w:tcPr>
            <w:tcW w:type="dxa" w:w="362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合规规则库、质检团队、直播复盘、业务 KPI 与告警流程。</w:t>
            </w:r>
          </w:p>
        </w:tc>
      </w:tr>
    </w:tbl>
    <w:p>
      <w:pPr>
        <w:spacing w:before="0" w:after="40" w:line="307" w:lineRule="auto"/>
      </w:pPr>
    </w:p>
    <w:p>
      <w:pPr>
        <w:pStyle w:val="Heading1"/>
        <w:spacing w:before="280" w:after="100"/>
      </w:pPr>
      <w:r>
        <w:rPr>
          <w:rFonts w:ascii="Aptos" w:hAnsi="Aptos" w:eastAsia="Microsoft YaHei"/>
          <w:b/>
          <w:color w:val="000000"/>
          <w:sz w:val="28"/>
        </w:rPr>
        <w:t>4 关键闭环设计</w:t>
      </w:r>
    </w:p>
    <w:p>
      <w:pPr>
        <w:pStyle w:val="Heading2"/>
        <w:spacing w:before="160" w:after="100"/>
      </w:pPr>
      <w:r>
        <w:rPr>
          <w:rFonts w:ascii="Aptos" w:hAnsi="Aptos" w:eastAsia="Microsoft YaHei"/>
          <w:b/>
          <w:color w:val="000000"/>
          <w:sz w:val="23"/>
        </w:rPr>
        <w:t>4.1 直播问答与合规前置</w:t>
      </w:r>
    </w:p>
    <w:p>
      <w:pPr>
        <w:spacing w:before="0" w:after="120" w:line="307" w:lineRule="auto"/>
      </w:pPr>
      <w:r>
        <w:rPr>
          <w:rFonts w:ascii="Aptos" w:hAnsi="Aptos" w:eastAsia="Microsoft YaHei"/>
          <w:b w:val="0"/>
          <w:color w:val="000000"/>
          <w:sz w:val="20"/>
        </w:rPr>
        <w:t>消费者问题进入主播 Agent 前，由商品/客服知识检索获取带来源、版本和时效的 Evidence。主播输出是 Proposal，不是直接播报文本；合规 Agent 按品牌禁用表达、功效宣称、价格/活动条件、平台规则和风险等级执行 PASS、REWRITE 或 BLOCK。无法取得足够证据时，系统明确答复“需要人工确认”或转人工，不以猜测填补事实。</w:t>
      </w:r>
    </w:p>
    <w:p>
      <w:pPr>
        <w:pStyle w:val="Heading2"/>
        <w:spacing w:before="160" w:after="100"/>
      </w:pPr>
      <w:r>
        <w:rPr>
          <w:rFonts w:ascii="Aptos" w:hAnsi="Aptos" w:eastAsia="Microsoft YaHei"/>
          <w:b/>
          <w:color w:val="000000"/>
          <w:sz w:val="23"/>
        </w:rPr>
        <w:t>4.2 上新到开播</w:t>
      </w:r>
    </w:p>
    <w:p>
      <w:pPr>
        <w:spacing w:before="0" w:after="120" w:line="307" w:lineRule="auto"/>
      </w:pPr>
      <w:r>
        <w:rPr>
          <w:rFonts w:ascii="Aptos" w:hAnsi="Aptos" w:eastAsia="Microsoft YaHei"/>
          <w:b w:val="0"/>
          <w:color w:val="000000"/>
          <w:sz w:val="20"/>
        </w:rPr>
        <w:t>新品资料上传后，商品 Agent 先做结构化抽取，RAG Worker 构建新索引版本，内容 Agent 生成候选脚本，合规 Agent 审核，运营 Agent 输出排品与互动建议，业务人员在 Review 中确认后才形成直播可用 Release。每个版本都绑定商品资料、知识索引、模型路由、提示词、工具权限和质量门禁。</w:t>
      </w:r>
    </w:p>
    <w:p>
      <w:pPr>
        <w:pStyle w:val="Heading2"/>
        <w:spacing w:before="160" w:after="100"/>
      </w:pPr>
      <w:r>
        <w:rPr>
          <w:rFonts w:ascii="Aptos" w:hAnsi="Aptos" w:eastAsia="Microsoft YaHei"/>
          <w:b/>
          <w:color w:val="000000"/>
          <w:sz w:val="23"/>
        </w:rPr>
        <w:t>4.3 开播到复盘</w:t>
      </w:r>
    </w:p>
    <w:p>
      <w:pPr>
        <w:spacing w:before="0" w:after="120" w:line="307" w:lineRule="auto"/>
      </w:pPr>
      <w:r>
        <w:rPr>
          <w:rFonts w:ascii="Aptos" w:hAnsi="Aptos" w:eastAsia="Microsoft YaHei"/>
          <w:b w:val="0"/>
          <w:color w:val="000000"/>
          <w:sz w:val="20"/>
        </w:rPr>
        <w:t>开播中，Data Agent 只消费匿名化互动和聚合指标，识别高频问题、低置信回答、异常拦截和转换信号；运营 Agent 生成建议，经过规则和人工边界后生效。开播后，坏例、专家纠正和复盘结论进入候选知识，只有拥有 Evidence 与人工确认的结论才能升级为可复用 Wiki/Shared Memory。</w:t>
      </w:r>
    </w:p>
    <w:p>
      <w:pPr>
        <w:pStyle w:val="Heading1"/>
        <w:spacing w:before="280" w:after="100"/>
      </w:pPr>
      <w:r>
        <w:rPr>
          <w:rFonts w:ascii="Aptos" w:hAnsi="Aptos" w:eastAsia="Microsoft YaHei"/>
          <w:b/>
          <w:color w:val="000000"/>
          <w:sz w:val="28"/>
        </w:rPr>
        <w:t>5 分阶段实施计划</w:t>
      </w:r>
    </w:p>
    <w:tbl>
      <w:tblPr>
        <w:tblW w:type="auto" w:w="0"/>
        <w:jc w:val="center"/>
        <w:tblLayout w:type="fixed"/>
        <w:tblLook w:firstColumn="1" w:firstRow="1" w:lastColumn="0" w:lastRow="0" w:noHBand="0" w:noVBand="1" w:val="04A0"/>
      </w:tblPr>
      <w:tblGrid>
        <w:gridCol w:w="1191"/>
        <w:gridCol w:w="1134"/>
        <w:gridCol w:w="4139"/>
        <w:gridCol w:w="3005"/>
      </w:tblGrid>
      <w:tr>
        <w:tc>
          <w:tcPr>
            <w:tcW w:type="dxa" w:w="255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阶段</w:t>
            </w:r>
          </w:p>
        </w:tc>
        <w:tc>
          <w:tcPr>
            <w:tcW w:type="dxa" w:w="255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周期</w:t>
            </w:r>
          </w:p>
        </w:tc>
        <w:tc>
          <w:tcPr>
            <w:tcW w:type="dxa" w:w="255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范围与产出</w:t>
            </w:r>
          </w:p>
        </w:tc>
        <w:tc>
          <w:tcPr>
            <w:tcW w:type="dxa" w:w="255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验收门槛</w:t>
            </w:r>
          </w:p>
        </w:tc>
      </w:tr>
      <w:tr>
        <w:tc>
          <w:tcPr>
            <w:tcW w:type="dxa" w:w="119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0 发现与基线</w:t>
            </w:r>
          </w:p>
        </w:tc>
        <w:tc>
          <w:tcPr>
            <w:tcW w:type="dxa" w:w="113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第 1-2 周</w:t>
            </w:r>
          </w:p>
        </w:tc>
        <w:tc>
          <w:tcPr>
            <w:tcW w:type="dxa" w:w="4139"/>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确定试点品牌、平台、类目、SKU 范围；梳理数据源、规则、风险、当前问答/人工工时基线；建立脱敏直播回放集。</w:t>
            </w:r>
          </w:p>
        </w:tc>
        <w:tc>
          <w:tcPr>
            <w:tcW w:type="dxa" w:w="300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业务、合规、数据、安全四方确认范围；完成数据分级、API 清单、试点 KPI 和停止条件。</w:t>
            </w:r>
          </w:p>
        </w:tc>
      </w:tr>
      <w:tr>
        <w:tc>
          <w:tcPr>
            <w:tcW w:type="dxa" w:w="119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1 知识与合规 MVP</w:t>
            </w:r>
          </w:p>
        </w:tc>
        <w:tc>
          <w:tcPr>
            <w:tcW w:type="dxa" w:w="113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第 3-6 周</w:t>
            </w:r>
          </w:p>
        </w:tc>
        <w:tc>
          <w:tcPr>
            <w:tcW w:type="dxa" w:w="4139"/>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接入官方商品资料、活动规则与 FAQ；构建 Hybrid RAG、Evidence、合规规则和 Review；主播仅使用只读建议。</w:t>
            </w:r>
          </w:p>
        </w:tc>
        <w:tc>
          <w:tcPr>
            <w:tcW w:type="dxa" w:w="300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关键 SKU 问答通过人工标注集；高风险样本零越过；无 Evidence 不得生成确定性事实。</w:t>
            </w:r>
          </w:p>
        </w:tc>
      </w:tr>
      <w:tr>
        <w:tc>
          <w:tcPr>
            <w:tcW w:type="dxa" w:w="119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2 影子回放</w:t>
            </w:r>
          </w:p>
        </w:tc>
        <w:tc>
          <w:tcPr>
            <w:tcW w:type="dxa" w:w="113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第 7-10 周</w:t>
            </w:r>
          </w:p>
        </w:tc>
        <w:tc>
          <w:tcPr>
            <w:tcW w:type="dxa" w:w="4139"/>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对历史直播问题回放，比较现有回答与 Agent 团队候选；评估准确性、合规、延迟、成本和人工介入。</w:t>
            </w:r>
          </w:p>
        </w:tc>
        <w:tc>
          <w:tcPr>
            <w:tcW w:type="dxa" w:w="300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达到共同签署的 Recall、引用正确性、合规拦截、P95 时延、成本预算门槛；失败样本进入回归集。</w:t>
            </w:r>
          </w:p>
        </w:tc>
      </w:tr>
      <w:tr>
        <w:tc>
          <w:tcPr>
            <w:tcW w:type="dxa" w:w="119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3 小流量开播</w:t>
            </w:r>
          </w:p>
        </w:tc>
        <w:tc>
          <w:tcPr>
            <w:tcW w:type="dxa" w:w="113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第 11-14 周</w:t>
            </w:r>
          </w:p>
        </w:tc>
        <w:tc>
          <w:tcPr>
            <w:tcW w:type="dxa" w:w="4139"/>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在限定时段、SKU 和直播间启用 Canary；先启用主播问答和合规重写，运营建议仅供人工采纳。</w:t>
            </w:r>
          </w:p>
        </w:tc>
        <w:tc>
          <w:tcPr>
            <w:tcW w:type="dxa" w:w="300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无 P0 合规/价格事故；可观察率、人工接管、回滚、审计和告警全部演练通过。</w:t>
            </w:r>
          </w:p>
        </w:tc>
      </w:tr>
      <w:tr>
        <w:tc>
          <w:tcPr>
            <w:tcW w:type="dxa" w:w="119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4 扩展与运营化</w:t>
            </w:r>
          </w:p>
        </w:tc>
        <w:tc>
          <w:tcPr>
            <w:tcW w:type="dxa" w:w="113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第 15-16 周及后续</w:t>
            </w:r>
          </w:p>
        </w:tc>
        <w:tc>
          <w:tcPr>
            <w:tcW w:type="dxa" w:w="4139"/>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扩大品牌/类目；接入客服、排品、复盘、可信记忆；建立发布节奏和平台 SLO。</w:t>
            </w:r>
          </w:p>
        </w:tc>
        <w:tc>
          <w:tcPr>
            <w:tcW w:type="dxa" w:w="300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每个新品牌沿用模板完成数据接入、门禁、审计和上线签核；不以复制 Prompt 代替配置治理。</w:t>
            </w:r>
          </w:p>
        </w:tc>
      </w:tr>
    </w:tbl>
    <w:p>
      <w:pPr>
        <w:spacing w:before="0" w:after="40" w:line="307" w:lineRule="auto"/>
      </w:pPr>
    </w:p>
    <w:p>
      <w:pPr>
        <w:pStyle w:val="Heading1"/>
        <w:spacing w:before="280" w:after="100"/>
      </w:pPr>
      <w:r>
        <w:rPr>
          <w:rFonts w:ascii="Aptos" w:hAnsi="Aptos" w:eastAsia="Microsoft YaHei"/>
          <w:b/>
          <w:color w:val="000000"/>
          <w:sz w:val="28"/>
        </w:rPr>
        <w:t>6 试点指标与决策机制</w:t>
      </w:r>
    </w:p>
    <w:p>
      <w:pPr>
        <w:spacing w:before="0" w:after="120" w:line="307" w:lineRule="auto"/>
      </w:pPr>
      <w:r>
        <w:rPr>
          <w:rFonts w:ascii="Aptos" w:hAnsi="Aptos" w:eastAsia="Microsoft YaHei"/>
          <w:b w:val="0"/>
          <w:color w:val="000000"/>
          <w:sz w:val="20"/>
        </w:rPr>
        <w:t>以下是建议在阶段 0 与业务共同校准的指标，不是未经验证的收益承诺。每个指标均应记录基线、样本量、口径、负责人和观察窗口。</w:t>
      </w:r>
    </w:p>
    <w:tbl>
      <w:tblPr>
        <w:tblW w:type="auto" w:w="0"/>
        <w:jc w:val="center"/>
        <w:tblLayout w:type="fixed"/>
        <w:tblLook w:firstColumn="1" w:firstRow="1" w:lastColumn="0" w:lastRow="0" w:noHBand="0" w:noVBand="1" w:val="04A0"/>
      </w:tblPr>
      <w:tblGrid>
        <w:gridCol w:w="1474"/>
        <w:gridCol w:w="4535"/>
        <w:gridCol w:w="3458"/>
      </w:tblGrid>
      <w:tr>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维度</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建议指标</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决策用途</w:t>
            </w:r>
          </w:p>
        </w:tc>
      </w:tr>
      <w:tr>
        <w:tc>
          <w:tcPr>
            <w:tcW w:type="dxa" w:w="147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知识准确性</w:t>
            </w:r>
          </w:p>
        </w:tc>
        <w:tc>
          <w:tcPr>
            <w:tcW w:type="dxa" w:w="453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关键 SKU Recall@K、Evidence 覆盖率、引用正确率、人工抽检错误率。</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决定是否允许主播以确定性语气回答。</w:t>
            </w:r>
          </w:p>
        </w:tc>
      </w:tr>
      <w:tr>
        <w:tc>
          <w:tcPr>
            <w:tcW w:type="dxa" w:w="147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合规安全</w:t>
            </w:r>
          </w:p>
        </w:tc>
        <w:tc>
          <w:tcPr>
            <w:tcW w:type="dxa" w:w="453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高风险样本漏检率、BLOCK/REWRITE 准确率、人工升级率、Prompt 注入拦截。</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高风险用例零失败；触发即暂停放量。</w:t>
            </w:r>
          </w:p>
        </w:tc>
      </w:tr>
      <w:tr>
        <w:tc>
          <w:tcPr>
            <w:tcW w:type="dxa" w:w="147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用户体验</w:t>
            </w:r>
          </w:p>
        </w:tc>
        <w:tc>
          <w:tcPr>
            <w:tcW w:type="dxa" w:w="453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端到端 P95 时延、转人工率、重复问题率、会话完成率。</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决定直播间范围和模型/缓存策略。</w:t>
            </w:r>
          </w:p>
        </w:tc>
      </w:tr>
      <w:tr>
        <w:tc>
          <w:tcPr>
            <w:tcW w:type="dxa" w:w="147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运营价值</w:t>
            </w:r>
          </w:p>
        </w:tc>
        <w:tc>
          <w:tcPr>
            <w:tcW w:type="dxa" w:w="453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新品知识上线周期、人工运营处理时长、复盘闭环时间、建议采纳率。</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决定是否扩大到上新、排品和客服。</w:t>
            </w:r>
          </w:p>
        </w:tc>
      </w:tr>
      <w:tr>
        <w:tc>
          <w:tcPr>
            <w:tcW w:type="dxa" w:w="147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成本与稳定性</w:t>
            </w:r>
          </w:p>
        </w:tc>
        <w:tc>
          <w:tcPr>
            <w:tcW w:type="dxa" w:w="4535"/>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每千次互动成本、模型 fallback、工具失败率、事件延迟、SLO。</w:t>
            </w:r>
          </w:p>
        </w:tc>
        <w:tc>
          <w:tcPr>
            <w:tcW w:type="dxa" w:w="3458"/>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决定模型路由、容量和多副本策略。</w:t>
            </w:r>
          </w:p>
        </w:tc>
      </w:tr>
    </w:tbl>
    <w:p>
      <w:pPr>
        <w:spacing w:before="0" w:after="40" w:line="307" w:lineRule="auto"/>
      </w:pPr>
    </w:p>
    <w:p>
      <w:pPr>
        <w:pStyle w:val="Heading1"/>
        <w:spacing w:before="280" w:after="100"/>
      </w:pPr>
      <w:r>
        <w:rPr>
          <w:rFonts w:ascii="Aptos" w:hAnsi="Aptos" w:eastAsia="Microsoft YaHei"/>
          <w:b/>
          <w:color w:val="000000"/>
          <w:sz w:val="28"/>
        </w:rPr>
        <w:t>7 安全 合规 与数据边界</w:t>
      </w:r>
    </w:p>
    <w:p>
      <w:pPr>
        <w:pStyle w:val="ListBullet"/>
        <w:spacing w:after="60" w:line="276" w:lineRule="auto"/>
      </w:pPr>
      <w:r>
        <w:rPr>
          <w:rFonts w:ascii="Aptos" w:hAnsi="Aptos" w:eastAsia="Microsoft YaHei"/>
          <w:b w:val="0"/>
          <w:color w:val="000000"/>
          <w:sz w:val="20"/>
        </w:rPr>
        <w:t>租户、品牌、直播间、用户和 Agent 身份分离；不同品牌数据、Prompt、缓存和审计不得跨域复用。</w:t>
      </w:r>
    </w:p>
    <w:p>
      <w:pPr>
        <w:pStyle w:val="ListBullet"/>
        <w:spacing w:after="60" w:line="276" w:lineRule="auto"/>
      </w:pPr>
      <w:r>
        <w:rPr>
          <w:rFonts w:ascii="Aptos" w:hAnsi="Aptos" w:eastAsia="Microsoft YaHei"/>
          <w:b w:val="0"/>
          <w:color w:val="000000"/>
          <w:sz w:val="20"/>
        </w:rPr>
        <w:t>商品官方资料、ERP 实时价格、人工确认、Agent 推断和外部内容采用不同 Trust Level；低可信内容不能直接成为共享事实。</w:t>
      </w:r>
    </w:p>
    <w:p>
      <w:pPr>
        <w:pStyle w:val="ListBullet"/>
        <w:spacing w:after="60" w:line="276" w:lineRule="auto"/>
      </w:pPr>
      <w:r>
        <w:rPr>
          <w:rFonts w:ascii="Aptos" w:hAnsi="Aptos" w:eastAsia="Microsoft YaHei"/>
          <w:b w:val="0"/>
          <w:color w:val="000000"/>
          <w:sz w:val="20"/>
        </w:rPr>
        <w:t>订单、会员、私信等个人数据默认脱敏；客服 Agent 只获得完成任务所需的最小字段和期限。</w:t>
      </w:r>
    </w:p>
    <w:p>
      <w:pPr>
        <w:pStyle w:val="ListBullet"/>
        <w:spacing w:after="60" w:line="276" w:lineRule="auto"/>
      </w:pPr>
      <w:r>
        <w:rPr>
          <w:rFonts w:ascii="Aptos" w:hAnsi="Aptos" w:eastAsia="Microsoft YaHei"/>
          <w:b w:val="0"/>
          <w:color w:val="000000"/>
          <w:sz w:val="20"/>
        </w:rPr>
        <w:t>所有写工具通过 Tool Gateway、审批、幂等键与审计；第一期不授权 Agent 自动改价、退款、发券或修改库存。</w:t>
      </w:r>
    </w:p>
    <w:p>
      <w:pPr>
        <w:pStyle w:val="ListBullet"/>
        <w:spacing w:after="60" w:line="276" w:lineRule="auto"/>
      </w:pPr>
      <w:r>
        <w:rPr>
          <w:rFonts w:ascii="Aptos" w:hAnsi="Aptos" w:eastAsia="Microsoft YaHei"/>
          <w:b w:val="0"/>
          <w:color w:val="000000"/>
          <w:sz w:val="20"/>
        </w:rPr>
        <w:t>生产采用 OIDC、工作负载身份、独立 mTLS 证书、KMS、NetworkPolicy、Outbox + CDC；浏览器和数字人前端不持有服务密钥。</w:t>
      </w:r>
    </w:p>
    <w:p>
      <w:pPr>
        <w:pStyle w:val="Heading1"/>
        <w:spacing w:before="280" w:after="100"/>
      </w:pPr>
      <w:r>
        <w:rPr>
          <w:rFonts w:ascii="Aptos" w:hAnsi="Aptos" w:eastAsia="Microsoft YaHei"/>
          <w:b/>
          <w:color w:val="000000"/>
          <w:sz w:val="28"/>
        </w:rPr>
        <w:t>8 团队与治理建议</w:t>
      </w:r>
    </w:p>
    <w:tbl>
      <w:tblPr>
        <w:tblW w:type="auto" w:w="0"/>
        <w:jc w:val="center"/>
        <w:tblLayout w:type="fixed"/>
        <w:tblLook w:firstColumn="1" w:firstRow="1" w:lastColumn="0" w:lastRow="0" w:noHBand="0" w:noVBand="1" w:val="04A0"/>
      </w:tblPr>
      <w:tblGrid>
        <w:gridCol w:w="1701"/>
        <w:gridCol w:w="1587"/>
        <w:gridCol w:w="6180"/>
      </w:tblGrid>
      <w:tr>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角色</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建议投入</w:t>
            </w:r>
          </w:p>
        </w:tc>
        <w:tc>
          <w:tcPr>
            <w:tcW w:type="dxa" w:w="34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主要责任</w:t>
            </w:r>
          </w:p>
        </w:tc>
      </w:tr>
      <w:tr>
        <w:tc>
          <w:tcPr>
            <w:tcW w:type="dxa" w:w="170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业务产品负责人</w:t>
            </w:r>
          </w:p>
        </w:tc>
        <w:tc>
          <w:tcPr>
            <w:tcW w:type="dxa" w:w="158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1 人</w:t>
            </w:r>
          </w:p>
        </w:tc>
        <w:tc>
          <w:tcPr>
            <w:tcW w:type="dxa" w:w="618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试点范围、品牌沟通、KPI、上线/暂停决策。</w:t>
            </w:r>
          </w:p>
        </w:tc>
      </w:tr>
      <w:tr>
        <w:tc>
          <w:tcPr>
            <w:tcW w:type="dxa" w:w="170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直播运营与品类专家</w:t>
            </w:r>
          </w:p>
        </w:tc>
        <w:tc>
          <w:tcPr>
            <w:tcW w:type="dxa" w:w="158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2-3 人兼职</w:t>
            </w:r>
          </w:p>
        </w:tc>
        <w:tc>
          <w:tcPr>
            <w:tcW w:type="dxa" w:w="618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高频问题、话术、排品、坏例复核、人工接管。</w:t>
            </w:r>
          </w:p>
        </w:tc>
      </w:tr>
      <w:tr>
        <w:tc>
          <w:tcPr>
            <w:tcW w:type="dxa" w:w="170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合规与品牌审核</w:t>
            </w:r>
          </w:p>
        </w:tc>
        <w:tc>
          <w:tcPr>
            <w:tcW w:type="dxa" w:w="158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1-2 人兼职</w:t>
            </w:r>
          </w:p>
        </w:tc>
        <w:tc>
          <w:tcPr>
            <w:tcW w:type="dxa" w:w="618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规则、风险等级、上线签核、事故复盘。</w:t>
            </w:r>
          </w:p>
        </w:tc>
      </w:tr>
      <w:tr>
        <w:tc>
          <w:tcPr>
            <w:tcW w:type="dxa" w:w="170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平台与算法工程</w:t>
            </w:r>
          </w:p>
        </w:tc>
        <w:tc>
          <w:tcPr>
            <w:tcW w:type="dxa" w:w="158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3-5 人</w:t>
            </w:r>
          </w:p>
        </w:tc>
        <w:tc>
          <w:tcPr>
            <w:tcW w:type="dxa" w:w="618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Runtime/RAG/Gateway、数据接入、模型路由、评测与可观测性。</w:t>
            </w:r>
          </w:p>
        </w:tc>
      </w:tr>
      <w:tr>
        <w:tc>
          <w:tcPr>
            <w:tcW w:type="dxa" w:w="1701"/>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数据与安全支持</w:t>
            </w:r>
          </w:p>
        </w:tc>
        <w:tc>
          <w:tcPr>
            <w:tcW w:type="dxa" w:w="158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按需</w:t>
            </w:r>
          </w:p>
        </w:tc>
        <w:tc>
          <w:tcPr>
            <w:tcW w:type="dxa" w:w="618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指标口径、数据最小化、IdP、密钥、网络与生产验收。</w:t>
            </w:r>
          </w:p>
        </w:tc>
      </w:tr>
    </w:tbl>
    <w:p>
      <w:pPr>
        <w:spacing w:before="0" w:after="40" w:line="307" w:lineRule="auto"/>
      </w:pPr>
    </w:p>
    <w:p>
      <w:pPr>
        <w:spacing w:before="0" w:after="120" w:line="307" w:lineRule="auto"/>
      </w:pPr>
      <w:r>
        <w:rPr>
          <w:rFonts w:ascii="Aptos" w:hAnsi="Aptos" w:eastAsia="Microsoft YaHei"/>
          <w:b w:val="0"/>
          <w:color w:val="000000"/>
          <w:sz w:val="20"/>
        </w:rPr>
        <w:t>建议设立每周试点委员会：审阅坏例、Golden Dataset、合规事件、成本/延迟、业务指标和下一阶段门槛。模型、Prompt、知识索引、工具权限或合规规则任一发生实质变更，均应触发回放评测与受控发布。</w:t>
      </w:r>
    </w:p>
    <w:p>
      <w:pPr>
        <w:pStyle w:val="Heading1"/>
        <w:spacing w:before="280" w:after="100"/>
      </w:pPr>
      <w:r>
        <w:rPr>
          <w:rFonts w:ascii="Aptos" w:hAnsi="Aptos" w:eastAsia="Microsoft YaHei"/>
          <w:b/>
          <w:color w:val="000000"/>
          <w:sz w:val="28"/>
        </w:rPr>
        <w:t>9 风险与应对</w:t>
      </w:r>
    </w:p>
    <w:tbl>
      <w:tblPr>
        <w:tblW w:type="auto" w:w="0"/>
        <w:jc w:val="center"/>
        <w:tblLayout w:type="fixed"/>
        <w:tblLook w:firstColumn="1" w:firstRow="1" w:lastColumn="0" w:lastRow="0" w:noHBand="0" w:noVBand="1" w:val="04A0"/>
      </w:tblPr>
      <w:tblGrid>
        <w:gridCol w:w="2324"/>
        <w:gridCol w:w="8277"/>
      </w:tblGrid>
      <w:tr>
        <w:tc>
          <w:tcPr>
            <w:tcW w:type="dxa" w:w="51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风险</w:t>
            </w:r>
          </w:p>
        </w:tc>
        <w:tc>
          <w:tcPr>
            <w:tcW w:type="dxa" w:w="5100"/>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shd w:fill="17365D"/>
          </w:tcPr>
          <w:p>
            <w:pPr>
              <w:spacing w:after="0"/>
            </w:pPr>
            <w:r>
              <w:rPr>
                <w:rFonts w:ascii="Aptos" w:hAnsi="Aptos" w:eastAsia="Microsoft YaHei"/>
                <w:b/>
                <w:color w:val="FFFFFF"/>
                <w:sz w:val="18"/>
              </w:rPr>
              <w:t>控制措施</w:t>
            </w:r>
          </w:p>
        </w:tc>
      </w:tr>
      <w:tr>
        <w:tc>
          <w:tcPr>
            <w:tcW w:type="dxa" w:w="232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商品、活动或价格过期</w:t>
            </w:r>
          </w:p>
        </w:tc>
        <w:tc>
          <w:tcPr>
            <w:tcW w:type="dxa" w:w="827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以权威数据源和时间戳构建 Evidence；索引版本化；实时字段仅经受控查询工具读取。</w:t>
            </w:r>
          </w:p>
        </w:tc>
      </w:tr>
      <w:tr>
        <w:tc>
          <w:tcPr>
            <w:tcW w:type="dxa" w:w="232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模型幻觉与提示注入</w:t>
            </w:r>
          </w:p>
        </w:tc>
        <w:tc>
          <w:tcPr>
            <w:tcW w:type="dxa" w:w="827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Data Only 分段、Evidence Verifier、输出审查、红队集、工具权限和审批形成纵深防御。</w:t>
            </w:r>
          </w:p>
        </w:tc>
      </w:tr>
      <w:tr>
        <w:tc>
          <w:tcPr>
            <w:tcW w:type="dxa" w:w="232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多 Agent 互相传播错误</w:t>
            </w:r>
          </w:p>
        </w:tc>
        <w:tc>
          <w:tcPr>
            <w:tcW w:type="dxa" w:w="827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Agent Result 必带 Evidence、来源和 Trust；未经验证的推断只作候选，不能写入 Shared Memory。</w:t>
            </w:r>
          </w:p>
        </w:tc>
      </w:tr>
      <w:tr>
        <w:tc>
          <w:tcPr>
            <w:tcW w:type="dxa" w:w="232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直播时延或高并发</w:t>
            </w:r>
          </w:p>
        </w:tc>
        <w:tc>
          <w:tcPr>
            <w:tcW w:type="dxa" w:w="827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shd w:fill="F5F7FA"/>
          </w:tcPr>
          <w:p>
            <w:pPr>
              <w:spacing w:after="0" w:line="264" w:lineRule="auto"/>
            </w:pPr>
            <w:r>
              <w:rPr>
                <w:rFonts w:ascii="Aptos" w:hAnsi="Aptos" w:eastAsia="Microsoft YaHei"/>
                <w:b w:val="0"/>
                <w:color w:val="000000"/>
                <w:sz w:val="18"/>
              </w:rPr>
              <w:t>LLM Gateway 做模型分层、限流、缓存、fallback 和成本控制；先压测，再按真实 P95 与并发扩容。</w:t>
            </w:r>
          </w:p>
        </w:tc>
      </w:tr>
      <w:tr>
        <w:tc>
          <w:tcPr>
            <w:tcW w:type="dxa" w:w="2324"/>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品牌或平台规则差异</w:t>
            </w:r>
          </w:p>
        </w:tc>
        <w:tc>
          <w:tcPr>
            <w:tcW w:type="dxa" w:w="8277"/>
            <w:tcBorders>
              <w:top w:val="single" w:sz="4" w:color="D9E1F2"/>
              <w:left w:val="single" w:sz="4" w:color="D9E1F2"/>
              <w:bottom w:val="single" w:sz="4" w:color="D9E1F2"/>
              <w:right w:val="single" w:sz="4" w:color="D9E1F2"/>
              <w:insideH w:val="single" w:sz="4" w:color="D9E1F2"/>
              <w:insideV w:val="single" w:sz="4" w:color="D9E1F2"/>
            </w:tcBorders>
            <w:tcMar>
              <w:top w:w="90" w:type="dxa"/>
              <w:start w:w="110" w:type="dxa"/>
              <w:bottom w:w="90" w:type="dxa"/>
              <w:end w:w="110" w:type="dxa"/>
            </w:tcMar>
            <w:vAlign w:val="center"/>
          </w:tcPr>
          <w:p>
            <w:pPr>
              <w:spacing w:after="0" w:line="264" w:lineRule="auto"/>
            </w:pPr>
            <w:r>
              <w:rPr>
                <w:rFonts w:ascii="Aptos" w:hAnsi="Aptos" w:eastAsia="Microsoft YaHei"/>
                <w:b w:val="0"/>
                <w:color w:val="000000"/>
                <w:sz w:val="18"/>
              </w:rPr>
              <w:t>规则作为品牌/平台版本化配置；每个 Release 绑定适用范围，禁止将一个品牌的规则隐式复用。</w:t>
            </w:r>
          </w:p>
        </w:tc>
      </w:tr>
    </w:tbl>
    <w:p>
      <w:pPr>
        <w:spacing w:before="0" w:after="40" w:line="307" w:lineRule="auto"/>
      </w:pPr>
    </w:p>
    <w:p>
      <w:pPr>
        <w:pStyle w:val="Heading1"/>
        <w:spacing w:before="280" w:after="100"/>
      </w:pPr>
      <w:r>
        <w:rPr>
          <w:rFonts w:ascii="Aptos" w:hAnsi="Aptos" w:eastAsia="Microsoft YaHei"/>
          <w:b/>
          <w:color w:val="000000"/>
          <w:sz w:val="28"/>
        </w:rPr>
        <w:t>10 需要在启动前确认的事项</w:t>
      </w:r>
    </w:p>
    <w:p>
      <w:pPr>
        <w:pStyle w:val="ListBullet"/>
        <w:spacing w:after="60" w:line="276" w:lineRule="auto"/>
      </w:pPr>
      <w:r>
        <w:rPr>
          <w:rFonts w:ascii="Aptos" w:hAnsi="Aptos" w:eastAsia="Microsoft YaHei"/>
          <w:b w:val="0"/>
          <w:color w:val="000000"/>
          <w:sz w:val="20"/>
        </w:rPr>
        <w:t>试点品牌、平台、品类、SKU 数量、直播时段与业务负责人。</w:t>
      </w:r>
    </w:p>
    <w:p>
      <w:pPr>
        <w:pStyle w:val="ListBullet"/>
        <w:spacing w:after="60" w:line="276" w:lineRule="auto"/>
      </w:pPr>
      <w:r>
        <w:rPr>
          <w:rFonts w:ascii="Aptos" w:hAnsi="Aptos" w:eastAsia="Microsoft YaHei"/>
          <w:b w:val="0"/>
          <w:color w:val="000000"/>
          <w:sz w:val="20"/>
        </w:rPr>
        <w:t>商品/PIM、活动、价格库存、订单物流、直播事件与数据看板的 API 可用性、字段、频率和权限。</w:t>
      </w:r>
    </w:p>
    <w:p>
      <w:pPr>
        <w:pStyle w:val="ListBullet"/>
        <w:spacing w:after="60" w:line="276" w:lineRule="auto"/>
      </w:pPr>
      <w:r>
        <w:rPr>
          <w:rFonts w:ascii="Aptos" w:hAnsi="Aptos" w:eastAsia="Microsoft YaHei"/>
          <w:b w:val="0"/>
          <w:color w:val="000000"/>
          <w:sz w:val="20"/>
        </w:rPr>
        <w:t>品牌合规规则、平台规则、禁止表达、可人工确认时限和事故升级流程。</w:t>
      </w:r>
    </w:p>
    <w:p>
      <w:pPr>
        <w:pStyle w:val="ListBullet"/>
        <w:spacing w:after="60" w:line="276" w:lineRule="auto"/>
      </w:pPr>
      <w:r>
        <w:rPr>
          <w:rFonts w:ascii="Aptos" w:hAnsi="Aptos" w:eastAsia="Microsoft YaHei"/>
          <w:b w:val="0"/>
          <w:color w:val="000000"/>
          <w:sz w:val="20"/>
        </w:rPr>
        <w:t>可合法用于回放评测的脱敏历史问答、坏例和转化数据，以及数据留存期限。</w:t>
      </w:r>
    </w:p>
    <w:p>
      <w:pPr>
        <w:pStyle w:val="ListBullet"/>
        <w:spacing w:after="60" w:line="276" w:lineRule="auto"/>
      </w:pPr>
      <w:r>
        <w:rPr>
          <w:rFonts w:ascii="Aptos" w:hAnsi="Aptos" w:eastAsia="Microsoft YaHei"/>
          <w:b w:val="0"/>
          <w:color w:val="000000"/>
          <w:sz w:val="20"/>
        </w:rPr>
        <w:t>生产 IdP、Secret Manager、对象存储、OpenSearch、Temporal、Kafka/CDC、监控告警与跨区域要求。</w:t>
      </w:r>
    </w:p>
    <w:p>
      <w:pPr>
        <w:pStyle w:val="Heading1"/>
        <w:spacing w:before="280" w:after="100"/>
      </w:pPr>
      <w:r>
        <w:rPr>
          <w:rFonts w:ascii="Aptos" w:hAnsi="Aptos" w:eastAsia="Microsoft YaHei"/>
          <w:b/>
          <w:color w:val="000000"/>
          <w:sz w:val="28"/>
        </w:rPr>
        <w:t>11 参考依据</w:t>
      </w:r>
    </w:p>
    <w:p>
      <w:pPr>
        <w:spacing w:before="0" w:after="120" w:line="307" w:lineRule="auto"/>
      </w:pPr>
      <w:r>
        <w:rPr>
          <w:rFonts w:ascii="Aptos" w:hAnsi="Aptos" w:eastAsia="Microsoft YaHei"/>
          <w:b w:val="0"/>
          <w:color w:val="000000"/>
          <w:sz w:val="20"/>
        </w:rPr>
        <w:t>1. 集思科技官网：数字人直播、实时互动问答、多产品切换、品牌知识库与开播前中后运营服务。https://www.johnsmith.cn/</w:t>
      </w:r>
    </w:p>
    <w:p>
      <w:pPr>
        <w:spacing w:before="0" w:after="120" w:line="307" w:lineRule="auto"/>
      </w:pPr>
      <w:r>
        <w:rPr>
          <w:rFonts w:ascii="Aptos" w:hAnsi="Aptos" w:eastAsia="Microsoft YaHei"/>
          <w:b w:val="0"/>
          <w:color w:val="000000"/>
          <w:sz w:val="20"/>
        </w:rPr>
        <w:t>2. 北京经济技术开发区公开报道：广益集思大模型为电商数字人直播领域备案模型，覆盖直播脚本生成与实时互动等场景。https://kfqgw.beijing.gov.cn/ywdt/kjcgzhgd/kjqy/202606/t20260612_4697828.html</w:t>
      </w:r>
    </w:p>
    <w:p>
      <w:pPr>
        <w:spacing w:before="0" w:after="120" w:line="307" w:lineRule="auto"/>
      </w:pPr>
      <w:r>
        <w:rPr>
          <w:rFonts w:ascii="Aptos" w:hAnsi="Aptos" w:eastAsia="Microsoft YaHei"/>
          <w:b w:val="0"/>
          <w:color w:val="000000"/>
          <w:sz w:val="20"/>
        </w:rPr>
        <w:t>3. 北京市政府公开报道：集思科技在计算机视觉生成、人机交互和检索增强生成等领域布局，并服务大型品牌客户。https://www.beijing.gov.cn/ywdt/gzdt/202506/t20250629_4132377.html</w:t>
      </w:r>
    </w:p>
    <w:sectPr w:rsidR="00FC693F" w:rsidRPr="0006063C" w:rsidSect="00034616">
      <w:footerReference w:type="default" r:id="rId9"/>
      <w:pgSz w:w="12240" w:h="15840"/>
      <w:pgMar w:top="964"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b w:val="0"/>
        <w:color w:val="646464"/>
        <w:sz w:val="17"/>
      </w:rPr>
      <w:t>集思科技 AI 销售运营团队落地计划书  |  建议稿</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