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80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集思科技 AI 销售运营团队落地计划书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464646"/>
          <w:sz w:val="24"/>
        </w:rPr>
        <w:t>从数字人直播能力升级到受治理的多 Agent 销售与运营闭环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结论：建议以一个品牌、一个直播平台和一个高频品类启动 16 周受控试点。保留现有数字人、直播编排、商品和订单系统作为业务主系统；在其之上建设可追溯、可审批、可回滚的 AI 决策与协作层。第一阶段不追求全面自动化，而是以商品复杂问答和新品上新两个闭环验证业务价值。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0 执行摘要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集思科技已具备数字人直播、实时互动、品牌知识库和开播前中后运营能力。下一阶段的机会不是增加更多对话入口，而是将商品、客服、内容、运营、数据和合规能力编排为受控团队：任何面向用户的回答均应能回溯到证据、版本和责任人；任何高风险动作均应经过规则、权限与人工审批；经过验证的结论才可沉淀为跨角色复用的组织知识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本计划将价值证明前置。试点需要同时验证三类经营杠杆：每直播小时人工介入时长是否下降；商品资料到可直播知识与脚本的周期是否缩短；复杂商品问答的自动解决率是否提升，同时维持事实、活动、价格与合规风险在可接受范围内。对于适合并行化和知识复用的上新、运营和复盘任务，以端到端周期、人工工时和重复劳动率为基线，验证 3 至 5 倍协作效率提升的可能性；该表述是待验证的试点假设，并非结果承诺。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1 业务问题与价值假设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数字人直播的规模化运营会同时面对 SKU、活动、价格、平台规则、品牌禁语和直播时效的快速变化。单纯依靠模型生成，难以保证每次回答引用的商品事实、活动信息和合规规则处于正确版本；单纯依赖人工，则容易在上新、排品、脚本、问答、复盘之间重复搬运信息。平台应解决的是“知识、决策与责任如何可靠协同”，而非替换已有直播业务系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业务杠杆</w:t>
            </w:r>
          </w:p>
        </w:tc>
        <w:tc>
          <w:tcPr>
            <w:tcW w:type="dxa" w:w="3969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试点假设</w:t>
            </w:r>
          </w:p>
        </w:tc>
        <w:tc>
          <w:tcPr>
            <w:tcW w:type="dxa" w:w="4139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基线与验收方式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人工运营成本</w:t>
            </w:r>
          </w:p>
        </w:tc>
        <w:tc>
          <w:tcPr>
            <w:tcW w:type="dxa" w:w="396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商品问答、资料核对和复盘中的重复人工介入减少。</w:t>
            </w:r>
          </w:p>
        </w:tc>
        <w:tc>
          <w:tcPr>
            <w:tcW w:type="dxa" w:w="413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记录 Operator Minutes per Live Hour；按相同品类、时段和任务量比较试点前后。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新品上线周期</w:t>
            </w:r>
          </w:p>
        </w:tc>
        <w:tc>
          <w:tcPr>
            <w:tcW w:type="dxa" w:w="396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商品资料可更快转化为已校验的知识、脚本和开播配置。</w:t>
            </w:r>
          </w:p>
        </w:tc>
        <w:tc>
          <w:tcPr>
            <w:tcW w:type="dxa" w:w="413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记录 SKU Time to Live：资料进入系统至知识、脚本、合规审核完成的总时长。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复杂问答处理</w:t>
            </w:r>
          </w:p>
        </w:tc>
        <w:tc>
          <w:tcPr>
            <w:tcW w:type="dxa" w:w="396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有证据支撑的自动解决率提升，转人工和错误回答下降。</w:t>
            </w:r>
          </w:p>
        </w:tc>
        <w:tc>
          <w:tcPr>
            <w:tcW w:type="dxa" w:w="413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按高频问题、长尾问题、价格活动问题和高风险问题分别统计。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可持续运营</w:t>
            </w:r>
          </w:p>
        </w:tc>
        <w:tc>
          <w:tcPr>
            <w:tcW w:type="dxa" w:w="396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一次审查通过的可信结论可复用，且过期后可自动失效。</w:t>
            </w:r>
          </w:p>
        </w:tc>
        <w:tc>
          <w:tcPr>
            <w:tcW w:type="dxa" w:w="413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记录复用次数、证据覆盖、过期率、人工纠错率和知识升级时长。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2 范围与一期非目标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一期聚焦两个可量化闭环：其一，直播中的商品复杂问答与合规前置；其二，商品资料进入系统后的知识、脚本与合规审核上新流程。所有输出均以“建议、候选答案或待审批动作”进入现有业务系统，不改变现有交易与直播主链路的最终控制权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4819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一期做什么</w:t>
            </w:r>
          </w:p>
        </w:tc>
        <w:tc>
          <w:tcPr>
            <w:tcW w:type="dxa" w:w="4989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一期明确不做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建立品牌与 SKU 隔离的证据检索、版本化知识与可信问答。</w:t>
            </w:r>
          </w:p>
        </w:tc>
        <w:tc>
          <w:tcPr>
            <w:tcW w:type="dxa" w:w="498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Agent 自动改价、退款、发券、改库存或直接写交易数据库。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将资料抽取、建索引、脚本生成、规则校验和人工审查组成可追踪上新流程。</w:t>
            </w:r>
          </w:p>
        </w:tc>
        <w:tc>
          <w:tcPr>
            <w:tcW w:type="dxa" w:w="498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跨品牌共享 Working Memory 或未经证据与人工确认的结论。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在 Shadow 和小流量 Canary 中验证问答、合规、延迟与人工工时。</w:t>
            </w:r>
          </w:p>
        </w:tc>
        <w:tc>
          <w:tcPr>
            <w:tcW w:type="dxa" w:w="498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第一阶段覆盖全部品牌、全部品类或要求数字人完全自主经营。</w:t>
            </w:r>
          </w:p>
        </w:tc>
      </w:tr>
      <w:tr>
        <w:tc>
          <w:tcPr>
            <w:tcW w:type="dxa" w:w="481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为高风险问题设置停止放量、人工接管和回滚路径。</w:t>
            </w:r>
          </w:p>
        </w:tc>
        <w:tc>
          <w:tcPr>
            <w:tcW w:type="dxa" w:w="498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让 LLM 绕过权限、工具网关或直接读取原始用户和交易敏感数据。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3 目标产品形态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目标产品不是“六个 Agent 顺序调用”，而是以直播业务目标为中心的 AI 销售运营团队。数字人主播仍是面向用户的交互载体；平台负责把不同执行形态分配给合适的角色，并把关键结论、证据、审批与产物保存在共同工作区。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角色或能力</w:t>
            </w:r>
          </w:p>
        </w:tc>
        <w:tc>
          <w:tcPr>
            <w:tcW w:type="dxa" w:w="4252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3572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权限与人工边界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主播 Agent</w:t>
            </w:r>
          </w:p>
        </w:tc>
        <w:tc>
          <w:tcPr>
            <w:tcW w:type="dxa" w:w="425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基于已验证证据生成口播或文字候选答案，说明不确定性。</w:t>
            </w:r>
          </w:p>
        </w:tc>
        <w:tc>
          <w:tcPr>
            <w:tcW w:type="dxa" w:w="357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不得自行承诺价格、功效、售后或交易结果；高风险问题转人工。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商品与客服 Agent</w:t>
            </w:r>
          </w:p>
        </w:tc>
        <w:tc>
          <w:tcPr>
            <w:tcW w:type="dxa" w:w="425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理解 SKU、规格、适用条件、活动和常见问题，提出处理建议。</w:t>
            </w:r>
          </w:p>
        </w:tc>
        <w:tc>
          <w:tcPr>
            <w:tcW w:type="dxa" w:w="357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只读已授权商品、活动与服务信息；输出必须附 Evidence。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内容与运营 Agent</w:t>
            </w:r>
          </w:p>
        </w:tc>
        <w:tc>
          <w:tcPr>
            <w:tcW w:type="dxa" w:w="425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生成脚本候选、排品建议、互动主题与复盘建议。</w:t>
            </w:r>
          </w:p>
        </w:tc>
        <w:tc>
          <w:tcPr>
            <w:tcW w:type="dxa" w:w="357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发布前经合规和业务 Review；不直接改变直播配置。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 Agent</w:t>
            </w:r>
          </w:p>
        </w:tc>
        <w:tc>
          <w:tcPr>
            <w:tcW w:type="dxa" w:w="425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基于脱敏、聚合指标发现高频问题、异常和待优化点。</w:t>
            </w:r>
          </w:p>
        </w:tc>
        <w:tc>
          <w:tcPr>
            <w:tcW w:type="dxa" w:w="357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不输出原始个人数据；异常判定先作为信号，不直接执行动作。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合规 Agent</w:t>
            </w:r>
          </w:p>
        </w:tc>
        <w:tc>
          <w:tcPr>
            <w:tcW w:type="dxa" w:w="425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综合品牌规则、平台规则、证据时效与风险等级，输出 PASS、REWRITE 或 BLOCK。</w:t>
            </w:r>
          </w:p>
        </w:tc>
        <w:tc>
          <w:tcPr>
            <w:tcW w:type="dxa" w:w="357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硬规则与高风险拦截优先；人工可复核、覆盖并留下原因。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4 Agent Skill Workflow Rule 的使用边界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并非每一个能力都应设计为自主 Agent。应将确定性、批量和可编排任务沉入 Skill、Worker、Rule Engine 或 Workflow；只有需要综合上下文、权衡目标和生成候选方案的场景才使用 Agent。这样既控制成本和延迟，也降低不可预测性。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438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2891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推荐执行形态</w:t>
            </w:r>
          </w:p>
        </w:tc>
        <w:tc>
          <w:tcPr>
            <w:tcW w:type="dxa" w:w="4479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原因</w:t>
            </w:r>
          </w:p>
        </w:tc>
      </w:tr>
      <w:tr>
        <w:tc>
          <w:tcPr>
            <w:tcW w:type="dxa" w:w="243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SKU 资料结构化抽取</w:t>
            </w:r>
          </w:p>
        </w:tc>
        <w:tc>
          <w:tcPr>
            <w:tcW w:type="dxa" w:w="289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Skill 或 Pipeline</w:t>
            </w:r>
          </w:p>
        </w:tc>
        <w:tc>
          <w:tcPr>
            <w:tcW w:type="dxa" w:w="447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输入输出结构明确，需可重复、可回放。</w:t>
            </w:r>
          </w:p>
        </w:tc>
      </w:tr>
      <w:tr>
        <w:tc>
          <w:tcPr>
            <w:tcW w:type="dxa" w:w="243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Embedding 与索引构建</w:t>
            </w:r>
          </w:p>
        </w:tc>
        <w:tc>
          <w:tcPr>
            <w:tcW w:type="dxa" w:w="289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Worker</w:t>
            </w:r>
          </w:p>
        </w:tc>
        <w:tc>
          <w:tcPr>
            <w:tcW w:type="dxa" w:w="447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适合异步、批量、可重试的后台任务。</w:t>
            </w:r>
          </w:p>
        </w:tc>
      </w:tr>
      <w:tr>
        <w:tc>
          <w:tcPr>
            <w:tcW w:type="dxa" w:w="243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违禁词、字段完整性、价格规则</w:t>
            </w:r>
          </w:p>
        </w:tc>
        <w:tc>
          <w:tcPr>
            <w:tcW w:type="dxa" w:w="289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Rule Engine</w:t>
            </w:r>
          </w:p>
        </w:tc>
        <w:tc>
          <w:tcPr>
            <w:tcW w:type="dxa" w:w="447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可显式表达、低延迟且必须一致执行。</w:t>
            </w:r>
          </w:p>
        </w:tc>
      </w:tr>
      <w:tr>
        <w:tc>
          <w:tcPr>
            <w:tcW w:type="dxa" w:w="243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新品上新与多方审批</w:t>
            </w:r>
          </w:p>
        </w:tc>
        <w:tc>
          <w:tcPr>
            <w:tcW w:type="dxa" w:w="289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Workflow 加 Human Approval</w:t>
            </w:r>
          </w:p>
        </w:tc>
        <w:tc>
          <w:tcPr>
            <w:tcW w:type="dxa" w:w="447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存在状态、时限、重试、升级和责任交接。</w:t>
            </w:r>
          </w:p>
        </w:tc>
      </w:tr>
      <w:tr>
        <w:tc>
          <w:tcPr>
            <w:tcW w:type="dxa" w:w="243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商品复杂问答与运营策略候选</w:t>
            </w:r>
          </w:p>
        </w:tc>
        <w:tc>
          <w:tcPr>
            <w:tcW w:type="dxa" w:w="289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Agent</w:t>
            </w:r>
          </w:p>
        </w:tc>
        <w:tc>
          <w:tcPr>
            <w:tcW w:type="dxa" w:w="447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需要综合上下文、检索证据与受控推理。</w:t>
            </w:r>
          </w:p>
        </w:tc>
      </w:tr>
      <w:tr>
        <w:tc>
          <w:tcPr>
            <w:tcW w:type="dxa" w:w="243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退款、补偿、发券</w:t>
            </w:r>
          </w:p>
        </w:tc>
        <w:tc>
          <w:tcPr>
            <w:tcW w:type="dxa" w:w="289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Workflow 加 Tool 加 Human Approval</w:t>
            </w:r>
          </w:p>
        </w:tc>
        <w:tc>
          <w:tcPr>
            <w:tcW w:type="dxa" w:w="447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属于高风险业务写操作，必须最小权限与可撤销。</w:t>
            </w:r>
          </w:p>
        </w:tc>
      </w:tr>
      <w:tr>
        <w:tc>
          <w:tcPr>
            <w:tcW w:type="dxa" w:w="243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实时指标计算与告警</w:t>
            </w:r>
          </w:p>
        </w:tc>
        <w:tc>
          <w:tcPr>
            <w:tcW w:type="dxa" w:w="289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Stream 或 Data Service</w:t>
            </w:r>
          </w:p>
        </w:tc>
        <w:tc>
          <w:tcPr>
            <w:tcW w:type="dxa" w:w="447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需要稳定吞吐和可解释阈值，不应等待 LLM。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5 Multi Agent Collaboration Runtime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协作运行时以 Team Goal 和 Task Graph 为中心。Runtime 根据发布快照、风险、成本、时限和可用能力，将任务分派给 Agent、Skill、Worker 或 Workflow；每一步只读取与其职责相匹配的上下文，并将可追踪结果写入共享工作区。由合并器对候选结果、冲突和未决事项进行收敛，必要时升级至人工。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协作对象</w:t>
            </w:r>
          </w:p>
        </w:tc>
        <w:tc>
          <w:tcPr>
            <w:tcW w:type="dxa" w:w="4535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288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控制规则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Team Goal</w:t>
            </w:r>
          </w:p>
        </w:tc>
        <w:tc>
          <w:tcPr>
            <w:tcW w:type="dxa" w:w="4535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例如完成某 SKU 的可直播知识与脚本，或解决一类直播复杂问答。</w:t>
            </w:r>
          </w:p>
        </w:tc>
        <w:tc>
          <w:tcPr>
            <w:tcW w:type="dxa" w:w="328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由业务任务定义，禁止 Agent 自行扩大范围。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Task Graph</w:t>
            </w:r>
          </w:p>
        </w:tc>
        <w:tc>
          <w:tcPr>
            <w:tcW w:type="dxa" w:w="4535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任务、依赖、负责人、截止时间、预算、重试和审批节点。</w:t>
            </w:r>
          </w:p>
        </w:tc>
        <w:tc>
          <w:tcPr>
            <w:tcW w:type="dxa" w:w="328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由 Runtime 编译和执行；变化需要记录原因与版本。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Shared Workspace</w:t>
            </w:r>
          </w:p>
        </w:tc>
        <w:tc>
          <w:tcPr>
            <w:tcW w:type="dxa" w:w="4535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Goal、Current Plan、Completed Tasks、Pending Tasks、Evidence、Decisions、Artifacts、Review Status。</w:t>
            </w:r>
          </w:p>
        </w:tc>
        <w:tc>
          <w:tcPr>
            <w:tcW w:type="dxa" w:w="328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以租户、品牌、直播间和任务隔离；角色按最小权限读取。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Result Merge</w:t>
            </w:r>
          </w:p>
        </w:tc>
        <w:tc>
          <w:tcPr>
            <w:tcW w:type="dxa" w:w="4535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比较多个候选答案、脚本或建议，识别一致、冲突和证据缺口。</w:t>
            </w:r>
          </w:p>
        </w:tc>
        <w:tc>
          <w:tcPr>
            <w:tcW w:type="dxa" w:w="328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优先采用高信任、未过期且与当前 SKU/活动匹配的证据。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Conflict Resolution</w:t>
            </w:r>
          </w:p>
        </w:tc>
        <w:tc>
          <w:tcPr>
            <w:tcW w:type="dxa" w:w="4535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事实冲突、版本冲突、规则冲突或预算与时限冲突。</w:t>
            </w:r>
          </w:p>
        </w:tc>
        <w:tc>
          <w:tcPr>
            <w:tcW w:type="dxa" w:w="328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高风险冲突不由模型投票解决，进入人工 Review 或 BLOCK。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6 共享记忆与可信知识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共享记忆不是普通聊天历史，也不是将模型推断直接写入知识库。它是一条从临时工作结果到组织可复用知识的升级链路：Private Working Memory 仅服务当前任务；Candidate Memory 记录候选结论与证据；经证据验证、规则检查和人工确认后，才成为带版本、时效与来源的 Shared Memory 或 Wiki 页面。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061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可见范围</w:t>
            </w:r>
          </w:p>
        </w:tc>
        <w:tc>
          <w:tcPr>
            <w:tcW w:type="dxa" w:w="4479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升级条件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Private Working Memory</w:t>
            </w:r>
          </w:p>
        </w:tc>
        <w:tc>
          <w:tcPr>
            <w:tcW w:type="dxa" w:w="306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当前任务与获授权执行者</w:t>
            </w:r>
          </w:p>
        </w:tc>
        <w:tc>
          <w:tcPr>
            <w:tcW w:type="dxa" w:w="447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仅用于推理和协作，不作为组织事实。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Candidate Memory</w:t>
            </w:r>
          </w:p>
        </w:tc>
        <w:tc>
          <w:tcPr>
            <w:tcW w:type="dxa" w:w="306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指定审查人与业务角色</w:t>
            </w:r>
          </w:p>
        </w:tc>
        <w:tc>
          <w:tcPr>
            <w:tcW w:type="dxa" w:w="447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需关联 Evidence、来源、风险和待确认事项。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Verified Shared Memory</w:t>
            </w:r>
          </w:p>
        </w:tc>
        <w:tc>
          <w:tcPr>
            <w:tcW w:type="dxa" w:w="306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同租户、同品牌下获授权角色</w:t>
            </w:r>
          </w:p>
        </w:tc>
        <w:tc>
          <w:tcPr>
            <w:tcW w:type="dxa" w:w="447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官方来源或可靠证据加人工确认；设定版本与有效期。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Superseded 或 Expired Memory</w:t>
            </w:r>
          </w:p>
        </w:tc>
        <w:tc>
          <w:tcPr>
            <w:tcW w:type="dxa" w:w="306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保留审计可查，不参与默认回答</w:t>
            </w:r>
          </w:p>
        </w:tc>
        <w:tc>
          <w:tcPr>
            <w:tcW w:type="dxa" w:w="447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新版本发布、活动结束、证据失效或人工撤销。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每条 MemoryItem 至少包含 source、trust_level、valid_from、valid_to、version、tenant、brand、evidence_refs、verified_by 与 TTL。示例：对“孕妇能否使用”的回答，模型推断不能直接进入共享记忆；只有关联品牌官方说明并由人工确认后，才可供主播、客服、内容和运营角色复用。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7 架构映射与三个业务闭环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154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现有平台能力</w:t>
            </w:r>
          </w:p>
        </w:tc>
        <w:tc>
          <w:tcPr>
            <w:tcW w:type="dxa" w:w="3969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在集思场景中的作用</w:t>
            </w:r>
          </w:p>
        </w:tc>
        <w:tc>
          <w:tcPr>
            <w:tcW w:type="dxa" w:w="3685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对接边界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Control Plane</w:t>
            </w:r>
          </w:p>
        </w:tc>
        <w:tc>
          <w:tcPr>
            <w:tcW w:type="dxa" w:w="396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 Agent Spec、版本、发布快照、工具目录与审批策略。</w:t>
            </w:r>
          </w:p>
        </w:tc>
        <w:tc>
          <w:tcPr>
            <w:tcW w:type="dxa" w:w="3685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不接管商品、订单或直播主系统。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Agent Runtime 与 Harness</w:t>
            </w:r>
          </w:p>
        </w:tc>
        <w:tc>
          <w:tcPr>
            <w:tcW w:type="dxa" w:w="396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执行受限 Task Graph，选择 Agent、Skill、Workflow 与 Executor。</w:t>
            </w:r>
          </w:p>
        </w:tc>
        <w:tc>
          <w:tcPr>
            <w:tcW w:type="dxa" w:w="3685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通过稳定 API 调用已有业务能力。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RAG Evidence Context</w:t>
            </w:r>
          </w:p>
        </w:tc>
        <w:tc>
          <w:tcPr>
            <w:tcW w:type="dxa" w:w="396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 SKU、活动、品牌、版本、权限和时效检索并组装证据。</w:t>
            </w:r>
          </w:p>
        </w:tc>
        <w:tc>
          <w:tcPr>
            <w:tcW w:type="dxa" w:w="3685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对接 PIM、CMS、规则库、客服知识与经批准的运营资料。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LLM Gateway 与 Tool Gateway</w:t>
            </w:r>
          </w:p>
        </w:tc>
        <w:tc>
          <w:tcPr>
            <w:tcW w:type="dxa" w:w="396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模型路由、限流、成本控制与受权工具调用。</w:t>
            </w:r>
          </w:p>
        </w:tc>
        <w:tc>
          <w:tcPr>
            <w:tcW w:type="dxa" w:w="3685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所有外部读写均经过能力、策略和审计检查。</w:t>
            </w:r>
          </w:p>
        </w:tc>
      </w:tr>
      <w:tr>
        <w:tc>
          <w:tcPr>
            <w:tcW w:type="dxa" w:w="215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Governance</w:t>
            </w:r>
          </w:p>
        </w:tc>
        <w:tc>
          <w:tcPr>
            <w:tcW w:type="dxa" w:w="3969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Golden Dataset、Shadow、Canary、线上指标、审计与回滚。</w:t>
            </w:r>
          </w:p>
        </w:tc>
        <w:tc>
          <w:tcPr>
            <w:tcW w:type="dxa" w:w="3685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对接业务 Review、工单、告警和质量门禁。</w:t>
            </w:r>
          </w:p>
        </w:tc>
      </w:tr>
    </w:tbl>
    <w:p>
      <w:pPr>
        <w:spacing w:after="40"/>
      </w:pP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000000"/>
          <w:sz w:val="23"/>
        </w:rPr>
        <w:t>7.1 直播问答与合规前置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用户问题进入后，先完成意图和风险识别，再检索匹配当前 SKU、活动和品牌范围的 Evidence。主播或客服 Agent 基于证据生成 Proposal；合规能力按硬规则、风险分类、证据时效和平台规则输出 PASS、REWRITE 或 BLOCK。证据不足时必须明确说明并转人工，而不是猜测补全。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000000"/>
          <w:sz w:val="23"/>
        </w:rPr>
        <w:t>7.2 新品上新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商品资料先由 Skill 或 Pipeline 结构化抽取；Worker 构建向量与关键词索引；内容能力生成脚本候选；合规能力审查禁语、活动与功效边界；运营角色确认排品和互动建议；最终由业务人员 Review 后形成版本化 Release。每个 Release 绑定商品来源、知识索引、模型路由、提示词、工具权限和质量门禁。</w:t>
      </w:r>
    </w:p>
    <w:p>
      <w:pPr>
        <w:pStyle w:val="Heading2"/>
        <w:spacing w:before="180" w:after="120"/>
      </w:pPr>
      <w:r>
        <w:rPr>
          <w:rFonts w:ascii="Microsoft YaHei" w:hAnsi="Microsoft YaHei" w:eastAsia="Microsoft YaHei"/>
          <w:b/>
          <w:color w:val="000000"/>
          <w:sz w:val="23"/>
        </w:rPr>
        <w:t>7.3 开播到复盘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Data Service 处理脱敏、聚合的直播信号，识别高频问题、转人工原因、异常答案与待优化环节；运营 Agent 生成复盘候选；人工确认的结论进入 Candidate Memory，再按可信知识流程升级。该闭环的输出是可执行改进项和可回溯知识，而不是自动改价、自动补偿或自动修改库存。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8 实时直播延迟预算与可靠性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端到端 P95 不能单独解释直播体验。试点应对每个请求分段记录 P50、P95 与 P99，并记录降级链、缓存命中、转人工和拒答原因，以区分慢在检索、模型、合规还是数字人渲染。具体阈值应在阶段 0 根据目标平台、网络和数字人链路共同确认。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984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链路段</w:t>
            </w:r>
          </w:p>
        </w:tc>
        <w:tc>
          <w:tcPr>
            <w:tcW w:type="dxa" w:w="4082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监控内容</w:t>
            </w:r>
          </w:p>
        </w:tc>
        <w:tc>
          <w:tcPr>
            <w:tcW w:type="dxa" w:w="3742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可能的受控降级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ASR 与意图识别</w:t>
            </w:r>
          </w:p>
        </w:tc>
        <w:tc>
          <w:tcPr>
            <w:tcW w:type="dxa" w:w="408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识别耗时、置信度、重试。</w:t>
            </w:r>
          </w:p>
        </w:tc>
        <w:tc>
          <w:tcPr>
            <w:tcW w:type="dxa" w:w="374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置信度不足时澄清或转人工。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检索与重排</w:t>
            </w:r>
          </w:p>
        </w:tc>
        <w:tc>
          <w:tcPr>
            <w:tcW w:type="dxa" w:w="408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召回、过滤、重排耗时、证据时效。</w:t>
            </w:r>
          </w:p>
        </w:tc>
        <w:tc>
          <w:tcPr>
            <w:tcW w:type="dxa" w:w="374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使用已验证缓存；证据不足则拒绝作答。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LLM TTFT 与生成</w:t>
            </w:r>
          </w:p>
        </w:tc>
        <w:tc>
          <w:tcPr>
            <w:tcW w:type="dxa" w:w="408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首 Token、总生成、模型路由、成本。</w:t>
            </w:r>
          </w:p>
        </w:tc>
        <w:tc>
          <w:tcPr>
            <w:tcW w:type="dxa" w:w="374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路由到已批准的备选模型或缩短回答。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合规与工具校验</w:t>
            </w:r>
          </w:p>
        </w:tc>
        <w:tc>
          <w:tcPr>
            <w:tcW w:type="dxa" w:w="408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规则命中、审批等待、工具耗时。</w:t>
            </w:r>
          </w:p>
        </w:tc>
        <w:tc>
          <w:tcPr>
            <w:tcW w:type="dxa" w:w="374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BLOCK 或转人工，不以绕过校验换速度。</w:t>
            </w:r>
          </w:p>
        </w:tc>
      </w:tr>
      <w:tr>
        <w:tc>
          <w:tcPr>
            <w:tcW w:type="dxa" w:w="1984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TTS 与数字人渲染</w:t>
            </w:r>
          </w:p>
        </w:tc>
        <w:tc>
          <w:tcPr>
            <w:tcW w:type="dxa" w:w="408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合成、渲染、播报耗时。</w:t>
            </w:r>
          </w:p>
        </w:tc>
        <w:tc>
          <w:tcPr>
            <w:tcW w:type="dxa" w:w="374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输出简短确认语并进入人工或异步补答。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9 16 周试点路线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1757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191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4592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范围与产物</w:t>
            </w:r>
          </w:p>
        </w:tc>
        <w:tc>
          <w:tcPr>
            <w:tcW w:type="dxa" w:w="2268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放行门槛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阶段 0 发现与基线</w:t>
            </w:r>
          </w:p>
        </w:tc>
        <w:tc>
          <w:tcPr>
            <w:tcW w:type="dxa" w:w="119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 至 2</w:t>
            </w:r>
          </w:p>
        </w:tc>
        <w:tc>
          <w:tcPr>
            <w:tcW w:type="dxa" w:w="459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确定品牌、平台、品类、SKU 集、数据接口、规则、人工职责与基线指标。</w:t>
            </w:r>
          </w:p>
        </w:tc>
        <w:tc>
          <w:tcPr>
            <w:tcW w:type="dxa" w:w="226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数据分类完成；关键 API 可用；Golden 与 Red Team 初版经业务确认。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阶段 1 知识与合规 MVP</w:t>
            </w:r>
          </w:p>
        </w:tc>
        <w:tc>
          <w:tcPr>
            <w:tcW w:type="dxa" w:w="119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 至 6</w:t>
            </w:r>
          </w:p>
        </w:tc>
        <w:tc>
          <w:tcPr>
            <w:tcW w:type="dxa" w:w="459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完成 Evidence 检索、版本时效、商品问答 Proposal、规则拦截和审查台。</w:t>
            </w:r>
          </w:p>
        </w:tc>
        <w:tc>
          <w:tcPr>
            <w:tcW w:type="dxa" w:w="226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关键问答具备可追溯证据；P0 风险不得绕过拦截。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阶段 2 Shadow 回放</w:t>
            </w:r>
          </w:p>
        </w:tc>
        <w:tc>
          <w:tcPr>
            <w:tcW w:type="dxa" w:w="119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7 至 10</w:t>
            </w:r>
          </w:p>
        </w:tc>
        <w:tc>
          <w:tcPr>
            <w:tcW w:type="dxa" w:w="459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使用历史直播和上新样本并行回放，不影响真实直播。</w:t>
            </w:r>
          </w:p>
        </w:tc>
        <w:tc>
          <w:tcPr>
            <w:tcW w:type="dxa" w:w="226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完成分层指标和失败归因；人工确认达到预设质量门槛。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阶段 3 小流量 Canary</w:t>
            </w:r>
          </w:p>
        </w:tc>
        <w:tc>
          <w:tcPr>
            <w:tcW w:type="dxa" w:w="119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11 至 14</w:t>
            </w:r>
          </w:p>
        </w:tc>
        <w:tc>
          <w:tcPr>
            <w:tcW w:type="dxa" w:w="459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仅在批准品牌、SKU、时段与问答类型内辅助真实业务。</w:t>
            </w:r>
          </w:p>
        </w:tc>
        <w:tc>
          <w:tcPr>
            <w:tcW w:type="dxa" w:w="226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P0 生产事件为 0；超阈值自动暂停并可快速回滚。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阶段 4 第二闭环验证</w:t>
            </w:r>
          </w:p>
        </w:tc>
        <w:tc>
          <w:tcPr>
            <w:tcW w:type="dxa" w:w="119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15 至 16</w:t>
            </w:r>
          </w:p>
        </w:tc>
        <w:tc>
          <w:tcPr>
            <w:tcW w:type="dxa" w:w="459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仅验证新品上新闭环，不扩大到全品牌全类目。</w:t>
            </w:r>
          </w:p>
        </w:tc>
        <w:tc>
          <w:tcPr>
            <w:tcW w:type="dxa" w:w="226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确认 SKU Time to Live 与人工工时改善是否成立，并决定 Phase 5。</w:t>
            </w:r>
          </w:p>
        </w:tc>
      </w:tr>
      <w:tr>
        <w:tc>
          <w:tcPr>
            <w:tcW w:type="dxa" w:w="1757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Phase 5 规模化</w:t>
            </w:r>
          </w:p>
        </w:tc>
        <w:tc>
          <w:tcPr>
            <w:tcW w:type="dxa" w:w="119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3 至 6 个月</w:t>
            </w:r>
          </w:p>
        </w:tc>
        <w:tc>
          <w:tcPr>
            <w:tcW w:type="dxa" w:w="459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在证据、模型、延迟、SLO 和运营机制稳定后逐步扩展。</w:t>
            </w:r>
          </w:p>
        </w:tc>
        <w:tc>
          <w:tcPr>
            <w:tcW w:type="dxa" w:w="2268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按品牌、类目、平台和风险分批发布，不以一次性覆盖为目标。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10 三层指标与治理门禁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701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5102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关键指标</w:t>
            </w:r>
          </w:p>
        </w:tc>
        <w:tc>
          <w:tcPr>
            <w:tcW w:type="dxa" w:w="3005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L1 检索与模型</w:t>
            </w:r>
          </w:p>
        </w:tc>
        <w:tc>
          <w:tcPr>
            <w:tcW w:type="dxa" w:w="510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Recall at K、Rerank、Evidence Coverage、引用正确率、延迟、Token 与成本。</w:t>
            </w:r>
          </w:p>
        </w:tc>
        <w:tc>
          <w:tcPr>
            <w:tcW w:type="dxa" w:w="3005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定位检索、模型或上下文装配质量。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L2 Agent 任务</w:t>
            </w:r>
          </w:p>
        </w:tc>
        <w:tc>
          <w:tcPr>
            <w:tcW w:type="dxa" w:w="510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商品事实准确率、活动和价格准确率、自动解决率、错误工具调用率、合规漏检率、转人工率。</w:t>
            </w:r>
          </w:p>
        </w:tc>
        <w:tc>
          <w:tcPr>
            <w:tcW w:type="dxa" w:w="3005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判断任务是否安全、正确、可执行。</w:t>
            </w:r>
          </w:p>
        </w:tc>
      </w:tr>
      <w:tr>
        <w:tc>
          <w:tcPr>
            <w:tcW w:type="dxa" w:w="170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L3 业务结果</w:t>
            </w:r>
          </w:p>
        </w:tc>
        <w:tc>
          <w:tcPr>
            <w:tcW w:type="dxa" w:w="5102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Operator Minutes per Live Hour、SKU Time to Live、运营复盘周期、单千次互动成本、问题处理量。</w:t>
            </w:r>
          </w:p>
        </w:tc>
        <w:tc>
          <w:tcPr>
            <w:tcW w:type="dxa" w:w="3005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验证是否值得扩大投入。</w:t>
            </w:r>
          </w:p>
        </w:tc>
      </w:tr>
    </w:tbl>
    <w:p>
      <w:pPr>
        <w:spacing w:after="40"/>
      </w:pP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高风险门禁应使用明确的样本与统计口径：在已确认的 P0/P1 Golden 与 Red Team 高风险测试集中，要求 P0 绕过为 0；Canary 阶段 P0 生产事件为 0，发生即自动暂停放量。所有门禁均需绑定测试集版本、风险等级、样本量、统计周期、模型版本、Prompt 版本与发布快照。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11 安全 合规 与运营边界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正文层面的安全原则是身份隔离、最小权限、短期凭证、传输加密、密钥托管、网络隔离与可靠审计。租户、品牌、直播间、用户、Agent 和数据域必须隔离；外部读写必须经工具网关和审批；敏感信息默认脱敏；每项关键决策都保留可查询的证据、版本和责任链。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技术附录实施时可将上述原则映射为 OIDC 与 Workload Identity、mTLS、KMS、NetworkPolicy、Outbox 加 CDC、对象存储与不可变审计等基础设施；这些是实现方式，不应喧宾夺主替代业务目标。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12 主要风险与应对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</w:trPr>
        <w:tc>
          <w:tcPr>
            <w:tcW w:type="dxa" w:w="2551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7257"/>
            <w:vAlign w:val="center"/>
            <w:shd w:fill="1F4E78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应对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商品、活动或价格信息过期</w:t>
            </w:r>
          </w:p>
        </w:tc>
        <w:tc>
          <w:tcPr>
            <w:tcW w:type="dxa" w:w="7257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Evidence 绑定来源、版本与 valid_to；过期不参与默认回答；活动结束自动降级。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模型幻觉或 Prompt 注入</w:t>
            </w:r>
          </w:p>
        </w:tc>
        <w:tc>
          <w:tcPr>
            <w:tcW w:type="dxa" w:w="7257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分段证据、注入检测、输出审查、引用校验、红队评测与高风险拒答。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多角色结论冲突</w:t>
            </w:r>
          </w:p>
        </w:tc>
        <w:tc>
          <w:tcPr>
            <w:tcW w:type="dxa" w:w="7257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Shared Workspace 记录证据与决策；以高信任、未过期来源优先；高风险冲突人工裁决。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实时体验受延迟影响</w:t>
            </w:r>
          </w:p>
        </w:tc>
        <w:tc>
          <w:tcPr>
            <w:tcW w:type="dxa" w:w="7257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  <w:shd w:fill="F6F9FC"/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分段 P50/P95/P99、模型路由、缓存、限流、短回答、人工接管与停止放量。</w:t>
            </w:r>
          </w:p>
        </w:tc>
      </w:tr>
      <w:tr>
        <w:tc>
          <w:tcPr>
            <w:tcW w:type="dxa" w:w="2551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业务规则与责任不清</w:t>
            </w:r>
          </w:p>
        </w:tc>
        <w:tc>
          <w:tcPr>
            <w:tcW w:type="dxa" w:w="7257"/>
            <w:vAlign w:val="center"/>
            <w:tcBorders>
              <w:top w:val="single" w:sz="6" w:color="D9E1F2"/>
              <w:left w:val="single" w:sz="6" w:color="D9E1F2"/>
              <w:bottom w:val="single" w:sz="6" w:color="D9E1F2"/>
              <w:right w:val="single" w:sz="6" w:color="D9E1F2"/>
              <w:insideH w:val="single" w:sz="6" w:color="D9E1F2"/>
              <w:insideV w:val="single" w:sz="6" w:color="D9E1F2"/>
            </w:tcBorders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line="288" w:lineRule="auto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阶段 0 固化 RACI、审批 SLA、覆盖规则与事故处置；上线前演练暂停与恢复。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13 立项前需要确认的事项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确定试点品牌、直播平台、品类、SKU 数量、直播时段与业务负责人。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确认 PIM、活动与价格、规则库、客服知识、直播事件和数据平台的 API 可用性、字段、频率与授权方式。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确认品牌合规规则、平台规则、禁止表达、人工确认时限、升级路径与事件责任人。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提供合法可用的历史问答、上新、运营与转人工样本，用于建立 Golden、Red Team 与业务基线。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b w:val="0"/>
          <w:sz w:val="21"/>
        </w:rPr>
        <w:t>确认 IdP、密钥管理、对象存储、消息与审计基础设施，以及试点环境与生产环境的隔离要求。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000000"/>
          <w:sz w:val="28"/>
        </w:rPr>
        <w:t>附录 参考依据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1. 集思科技官网：数字人直播、实时互动问答、多产品切换、品牌知识库与开播前中后运营服务。https://www.johnsmith.cn/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2. 北京经济技术开发区公开报道：广益集思大模型为电商数字人直播领域备案模型，覆盖直播脚本生成与实时互动等场景。https://kfqgw.beijing.gov.cn/ywdt/kjcgzhgd/kjqy/202606/t20260612_4697828.html</w:t>
      </w:r>
    </w:p>
    <w:p>
      <w:pPr>
        <w:spacing w:after="120" w:line="324" w:lineRule="auto"/>
      </w:pPr>
      <w:r>
        <w:rPr>
          <w:rFonts w:ascii="Microsoft YaHei" w:hAnsi="Microsoft YaHei" w:eastAsia="Microsoft YaHei"/>
          <w:b w:val="0"/>
          <w:sz w:val="21"/>
        </w:rPr>
        <w:t>3. 北京市政府公开报道：集思科技在计算机视觉生成、人机交互和检索增强生成等领域布局，并服务品牌客户。https://www.beijing.gov.cn/ywdt/gzdt/202506/t20250629_4132377.html</w:t>
      </w:r>
    </w:p>
    <w:sectPr w:rsidR="00FC693F" w:rsidRPr="0006063C" w:rsidSect="00034616">
      <w:footerReference w:type="default" r:id="rId9"/>
      <w:pgSz w:w="12240" w:h="15840"/>
      <w:pgMar w:top="935" w:right="1020" w:bottom="935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96969"/>
        <w:sz w:val="17"/>
      </w:rPr>
      <w:t>集思科技 AI 销售运营团队落地计划书  建议稿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