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Transportation</w:t>
      </w:r>
    </w:p>
    <w:p w:rsidR="00000000" w:rsidDel="00000000" w:rsidP="00000000" w:rsidRDefault="00000000" w:rsidRPr="00000000" w14:paraId="00000003">
      <w:pPr>
        <w:spacing w:after="240" w:befor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sz w:val="28"/>
          <w:szCs w:val="28"/>
          <w:rtl w:val="0"/>
        </w:rPr>
        <w:t xml:space="preserve">In transportation, ML powers autonomous vehicles by combining computer vision and sensor data to detect lanes, pedestrians, and traffic signs, then using learned driving policies (often trained with supervised and reinforcement learning) to steer, brake, and navigate. It also drives route optimization: models trained on historical and live traffic data predict congestion and travel times, letting apps like Google Maps or delivery fleets choose faster routes and cut fuel costs. Other applications include predictive maintenance for trains and aircraft (spotting failures before they happen), demand forecasting for ride-sharing and public transit, and dynamic pricing for tickets and rides. </w:t>
      </w:r>
      <w:r w:rsidDel="00000000" w:rsidR="00000000" w:rsidRPr="00000000">
        <w:rPr>
          <w:rtl w:val="0"/>
        </w:rPr>
      </w:r>
    </w:p>
    <w:p w:rsidR="00000000" w:rsidDel="00000000" w:rsidP="00000000" w:rsidRDefault="00000000" w:rsidRPr="00000000" w14:paraId="00000004">
      <w:pPr>
        <w:ind w:firstLine="720"/>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color w:val="1a202c"/>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