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A78D6"/>
          <w:spacing w:val="20"/>
          <w:sz w:val="20"/>
          <w:szCs w:val="20"/>
        </w:rPr>
        <w:t xml:space="preserve">MASTER'S GUIDE — CHAPTER 1</w:t>
      </w:r>
    </w:p>
    <w:p>
      <w:pPr>
        <w:spacing w:after="200"/>
      </w:pPr>
      <w:r>
        <w:rPr>
          <w:b/>
          <w:bCs/>
          <w:color w:val="0B0B0B"/>
          <w:sz w:val="64"/>
          <w:szCs w:val="64"/>
        </w:rPr>
        <w:t xml:space="preserve">Teaching Philosophy</w:t>
      </w:r>
    </w:p>
    <w:p>
      <w:pPr>
        <w:spacing w:after="160"/>
      </w:pPr>
      <w:r>
        <w:rPr>
          <w:i w:val="false"/>
          <w:iCs w:val="false"/>
          <w:color w:val="0B0B0B"/>
          <w:sz w:val="22"/>
          <w:szCs w:val="22"/>
        </w:rPr>
        <w:t xml:space="preserve">This chapter is the foundation everything else in this guide builds on. None of it is abstract theory you're expected to just remember at the table — every principle here is already wired into the mechanics you'll run: Spotlight Tokens, Language Points, the way Moves themselves are worded. Know these six principles, and the system already runs in the direction you want.</w:t>
      </w:r>
    </w:p>
    <w:p>
      <w:pPr>
        <w:spacing w:after="140"/>
      </w:pPr>
    </w:p>
    <w:p>
      <w:pPr>
        <w:keepNext/>
        <w:pBdr>
          <w:bottom w:val="single" w:color="2A78D6" w:sz="10" w:space="4"/>
        </w:pBdr>
        <w:spacing w:after="60" w:before="280"/>
      </w:pPr>
      <w:r>
        <w:rPr>
          <w:b/>
          <w:bCs/>
          <w:color w:val="2A78D6"/>
          <w:sz w:val="22"/>
          <w:szCs w:val="22"/>
        </w:rPr>
        <w:t xml:space="preserve">PRINCIPLE 1 — </w:t>
      </w:r>
      <w:r>
        <w:rPr>
          <w:b/>
          <w:bCs/>
          <w:color w:val="0B0B0B"/>
          <w:sz w:val="22"/>
          <w:szCs w:val="22"/>
        </w:rPr>
        <w:t xml:space="preserve">LOW TEACHER TALK, HIGH STUDENT TALK</w:t>
      </w:r>
    </w:p>
    <w:p>
      <w:pPr>
        <w:spacing w:after="100"/>
      </w:pPr>
      <w:r>
        <w:rPr>
          <w:i w:val="false"/>
          <w:iCs w:val="false"/>
          <w:color w:val="0B0B0B"/>
          <w:sz w:val="22"/>
          <w:szCs w:val="22"/>
        </w:rPr>
        <w:t xml:space="preserve">Your job at this table is not to be the best storyteller in the room — it's tempting, and it's fun, but it's not the win condition here. A session succeeds by how much English the players produced, not by how good the GM's narration was. Keep any single stretch of your own narration under 30–45 seconds, then hand the scene back to a player.</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Spotlight Tokens are this principle turned into a game rule. Every player starts a session with a set number of tokens, and running an extended scene costs one. You don't have to police talk time yourself — the resource does it for you.</w:t>
            </w:r>
          </w:p>
        </w:tc>
      </w:tr>
    </w:tbl>
    <w:p>
      <w:pPr>
        <w:spacing w:after="80"/>
      </w:pPr>
    </w:p>
    <w:p>
      <w:pPr>
        <w:keepNext/>
        <w:pBdr>
          <w:bottom w:val="single" w:color="2A78D6" w:sz="10" w:space="4"/>
        </w:pBdr>
        <w:spacing w:after="60" w:before="280"/>
      </w:pPr>
      <w:r>
        <w:rPr>
          <w:b/>
          <w:bCs/>
          <w:color w:val="2A78D6"/>
          <w:sz w:val="22"/>
          <w:szCs w:val="22"/>
        </w:rPr>
        <w:t xml:space="preserve">PRINCIPLE 2 — </w:t>
      </w:r>
      <w:r>
        <w:rPr>
          <w:b/>
          <w:bCs/>
          <w:color w:val="0B0B0B"/>
          <w:sz w:val="22"/>
          <w:szCs w:val="22"/>
        </w:rPr>
        <w:t xml:space="preserve">OPEN QUESTIONS BEFORE CLOSED ONES</w:t>
      </w:r>
    </w:p>
    <w:p>
      <w:pPr>
        <w:spacing w:after="100"/>
      </w:pPr>
      <w:r>
        <w:rPr>
          <w:i w:val="false"/>
          <w:iCs w:val="false"/>
          <w:color w:val="0B0B0B"/>
          <w:sz w:val="22"/>
          <w:szCs w:val="22"/>
        </w:rPr>
        <w:t xml:space="preserve">“Do you attack him?” gets a one-word answer. “What do you do?” or “How do you convince him?” forces real language production. This is already built into how every Move is worded — none of them ask for a yes/no choice — but it's worth naming explicitly so you carry the habit into your own improvised narration too.</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Weak question: “Are you scared?” Strong question: “What's going through your head right now?” Weak: “Do you want to help her?” Strong: “What do you say to her?”</w:t>
            </w:r>
          </w:p>
        </w:tc>
      </w:tr>
    </w:tbl>
    <w:p>
      <w:pPr>
        <w:spacing w:after="80"/>
      </w:pPr>
    </w:p>
    <w:p>
      <w:pPr>
        <w:keepNext/>
        <w:pBdr>
          <w:bottom w:val="single" w:color="2A78D6" w:sz="10" w:space="4"/>
        </w:pBdr>
        <w:spacing w:after="60" w:before="280"/>
      </w:pPr>
      <w:r>
        <w:rPr>
          <w:b/>
          <w:bCs/>
          <w:color w:val="2A78D6"/>
          <w:sz w:val="22"/>
          <w:szCs w:val="22"/>
        </w:rPr>
        <w:t xml:space="preserve">PRINCIPLE 3 — </w:t>
      </w:r>
      <w:r>
        <w:rPr>
          <w:b/>
          <w:bCs/>
          <w:color w:val="0B0B0B"/>
          <w:sz w:val="22"/>
          <w:szCs w:val="22"/>
        </w:rPr>
        <w:t xml:space="preserve">RECAST, NOT CORRECTION</w:t>
      </w:r>
    </w:p>
    <w:p>
      <w:pPr>
        <w:spacing w:after="100"/>
      </w:pPr>
      <w:r>
        <w:rPr>
          <w:i w:val="false"/>
          <w:iCs w:val="false"/>
          <w:color w:val="0B0B0B"/>
          <w:sz w:val="22"/>
          <w:szCs w:val="22"/>
        </w:rPr>
        <w:t xml:space="preserve">When a student makes an error in the target structure, don't stop the scene to correct it. Echo the correct version back in your very next line of narration — a technique well established in second language acquisition research as “recast.” It models the right form without breaking immersion or putting anyone on the spot.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Student says: “If you letting us in, we show the papers.” You narrate back: “Oren, seeing that you'll let them in if he agrees, steps back and waves you through.” No correction was ever announced — the right form just became part of the story.</w:t>
            </w:r>
          </w:p>
        </w:tc>
      </w:tr>
    </w:tbl>
    <w:p>
      <w:pPr>
        <w:spacing w:after="80"/>
      </w:pPr>
    </w:p>
    <w:p>
      <w:pPr>
        <w:keepNext/>
        <w:pBdr>
          <w:bottom w:val="single" w:color="2A78D6" w:sz="10" w:space="4"/>
        </w:pBdr>
        <w:spacing w:after="60" w:before="280"/>
      </w:pPr>
      <w:r>
        <w:rPr>
          <w:b/>
          <w:bCs/>
          <w:color w:val="2A78D6"/>
          <w:sz w:val="22"/>
          <w:szCs w:val="22"/>
        </w:rPr>
        <w:t xml:space="preserve">PRINCIPLE 4 — </w:t>
      </w:r>
      <w:r>
        <w:rPr>
          <w:b/>
          <w:bCs/>
          <w:color w:val="0B0B0B"/>
          <w:sz w:val="22"/>
          <w:szCs w:val="22"/>
        </w:rPr>
        <w:t xml:space="preserve">ONE COMMUNICATIVE TASK PER SCENE</w:t>
      </w:r>
    </w:p>
    <w:p>
      <w:pPr>
        <w:spacing w:after="100"/>
      </w:pPr>
      <w:r>
        <w:rPr>
          <w:i w:val="false"/>
          <w:iCs w:val="false"/>
          <w:color w:val="0B0B0B"/>
          <w:sz w:val="22"/>
          <w:szCs w:val="22"/>
        </w:rPr>
        <w:t xml:space="preserve">Every scene you design should have a clear communicative task behind the plot — negotiate, describe, persuade, recount a past event. Design the task first, then dress it in story. This is what the linguistic tags on the base Moves already point you toward; this principle just makes the design order explicit.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Before writing a scene, ask yourself: what is the actual conversational task I want a player to practice here? Only then decide what's happening in the fiction that would require it.</w:t>
            </w:r>
          </w:p>
        </w:tc>
      </w:tr>
    </w:tbl>
    <w:p>
      <w:pPr>
        <w:spacing w:after="80"/>
      </w:pPr>
    </w:p>
    <w:p>
      <w:pPr>
        <w:keepNext/>
        <w:pBdr>
          <w:bottom w:val="single" w:color="2A78D6" w:sz="10" w:space="4"/>
        </w:pBdr>
        <w:spacing w:after="60" w:before="280"/>
      </w:pPr>
      <w:r>
        <w:rPr>
          <w:b/>
          <w:bCs/>
          <w:color w:val="2A78D6"/>
          <w:sz w:val="22"/>
          <w:szCs w:val="22"/>
        </w:rPr>
        <w:t xml:space="preserve">PRINCIPLE 5 — </w:t>
      </w:r>
      <w:r>
        <w:rPr>
          <w:b/>
          <w:bCs/>
          <w:color w:val="0B0B0B"/>
          <w:sz w:val="22"/>
          <w:szCs w:val="22"/>
        </w:rPr>
        <w:t xml:space="preserve">THE GM IS NOT THE CENTER OF THE TABLE</w:t>
      </w:r>
    </w:p>
    <w:p>
      <w:pPr>
        <w:spacing w:after="100"/>
      </w:pPr>
      <w:r>
        <w:rPr>
          <w:i w:val="false"/>
          <w:iCs w:val="false"/>
          <w:color w:val="0B0B0B"/>
          <w:sz w:val="22"/>
          <w:szCs w:val="22"/>
        </w:rPr>
        <w:t xml:space="preserve">It's natural to want to narrate — it's fun, and it's easy to fall into. But a good session here is not measured by how good your story was; it's measured by how much each student produced. Make this an explicit end-of-session check for yourself, not just a vibe.</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After each session, ask: who hit their own Language Focus? Who ended the session with unused Spotlight Tokens — a sign they didn't get enough airtime? Use the Session Map tool in Chapter 6 to track this every week, not just when something feels off.</w:t>
            </w:r>
          </w:p>
        </w:tc>
      </w:tr>
    </w:tbl>
    <w:p>
      <w:pPr>
        <w:spacing w:after="80"/>
      </w:pPr>
    </w:p>
    <w:p>
      <w:pPr>
        <w:keepNext/>
        <w:pBdr>
          <w:bottom w:val="single" w:color="2A78D6" w:sz="10" w:space="4"/>
        </w:pBdr>
        <w:spacing w:after="60" w:before="280"/>
      </w:pPr>
      <w:r>
        <w:rPr>
          <w:b/>
          <w:bCs/>
          <w:color w:val="2A78D6"/>
          <w:sz w:val="22"/>
          <w:szCs w:val="22"/>
        </w:rPr>
        <w:t xml:space="preserve">PRINCIPLE 6 — </w:t>
      </w:r>
      <w:r>
        <w:rPr>
          <w:b/>
          <w:bCs/>
          <w:color w:val="0B0B0B"/>
          <w:sz w:val="22"/>
          <w:szCs w:val="22"/>
        </w:rPr>
        <w:t xml:space="preserve">MISTAKES ARE DATA, NOT MISSTEPS</w:t>
      </w:r>
    </w:p>
    <w:p>
      <w:pPr>
        <w:spacing w:after="100"/>
      </w:pPr>
      <w:r>
        <w:rPr>
          <w:i w:val="false"/>
          <w:iCs w:val="false"/>
          <w:color w:val="0B0B0B"/>
          <w:sz w:val="22"/>
          <w:szCs w:val="22"/>
        </w:rPr>
        <w:t xml:space="preserve">A low affective filter (Krashen) means students take more linguistic risks, and more risk means more practice. Establish this explicitly in Session Zero, as a table rule, not just an attitude: “mistakes are how we play this game, not something to avoid.”</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IN PRACTICE</w:t>
            </w:r>
          </w:p>
          <w:p>
            <w:r>
              <w:rPr>
                <w:color w:val="0B0B0B"/>
                <w:sz w:val="20"/>
                <w:szCs w:val="20"/>
              </w:rPr>
              <w:t xml:space="preserve">This is what Language Points are actually built on — you earn one for correctly attempting your Language Focus, not for using it perfectly. It's also what makes Principle 3 (recast) work: nobody is ever told they were wrong out loud.</w:t>
            </w:r>
          </w:p>
        </w:tc>
      </w:tr>
    </w:tbl>
    <w:p>
      <w:pPr>
        <w:spacing w:after="80"/>
      </w:pPr>
    </w:p>
    <w:p>
      <w:pPr>
        <w:spacing w:after="80"/>
      </w:pPr>
    </w:p>
    <w:p>
      <w:pPr>
        <w:spacing w:after="40"/>
      </w:pPr>
      <w:r>
        <w:rPr>
          <w:b/>
          <w:bCs/>
          <w:color w:val="2A78D6"/>
          <w:spacing w:val="20"/>
          <w:sz w:val="20"/>
          <w:szCs w:val="20"/>
        </w:rPr>
        <w:t xml:space="preserve">CHAPTER 1 — QUICK REFERENCE</w:t>
      </w:r>
    </w:p>
    <w:p>
      <w:pPr>
        <w:spacing w:after="200"/>
      </w:pPr>
      <w:r>
        <w:rPr>
          <w:b/>
          <w:bCs/>
          <w:color w:val="0B0B0B"/>
          <w:sz w:val="36"/>
          <w:szCs w:val="36"/>
        </w:rPr>
        <w:t xml:space="preserve">Six Principles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3600"/>
        <w:gridCol w:w="38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PRINCIPLE</w:t>
            </w:r>
          </w:p>
        </w:tc>
        <w:tc>
          <w:tcPr>
            <w:tcW w:type="dxa" w:w="3600"/>
            <w:shd w:fill="2A78D6" w:color="auto" w:val="clear"/>
            <w:tcMar>
              <w:top w:type="dxa" w:w="90"/>
              <w:left w:type="dxa" w:w="120"/>
              <w:bottom w:type="dxa" w:w="90"/>
              <w:right w:type="dxa" w:w="120"/>
            </w:tcMar>
          </w:tcPr>
          <w:p>
            <w:r>
              <w:rPr>
                <w:b/>
                <w:bCs/>
                <w:color w:val="FFFFFF"/>
                <w:sz w:val="18"/>
                <w:szCs w:val="18"/>
              </w:rPr>
              <w:t xml:space="preserve">IN ONE LINE</w:t>
            </w:r>
          </w:p>
        </w:tc>
        <w:tc>
          <w:tcPr>
            <w:tcW w:type="dxa" w:w="3880"/>
            <w:shd w:fill="2A78D6" w:color="auto" w:val="clear"/>
            <w:tcMar>
              <w:top w:type="dxa" w:w="90"/>
              <w:left w:type="dxa" w:w="120"/>
              <w:bottom w:type="dxa" w:w="90"/>
              <w:right w:type="dxa" w:w="120"/>
            </w:tcMar>
          </w:tcPr>
          <w:p>
            <w:r>
              <w:rPr>
                <w:b/>
                <w:bCs/>
                <w:color w:val="FFFFFF"/>
                <w:sz w:val="18"/>
                <w:szCs w:val="18"/>
              </w:rPr>
              <w:t xml:space="preserve">MECHANIC THAT ENFORCES IT</w:t>
            </w:r>
          </w:p>
        </w:tc>
      </w:tr>
      <w:tr>
        <w:tc>
          <w:tcPr>
            <w:tcW w:type="dxa" w:w="2600"/>
            <w:shd w:fill="FFFFFF" w:color="auto" w:val="clear"/>
            <w:tcMar>
              <w:top w:type="dxa" w:w="80"/>
              <w:left w:type="dxa" w:w="120"/>
              <w:bottom w:type="dxa" w:w="80"/>
              <w:right w:type="dxa" w:w="120"/>
            </w:tcMar>
          </w:tcPr>
          <w:p>
            <w:r>
              <w:rPr>
                <w:b/>
                <w:bCs/>
                <w:color w:val="0B0B0B"/>
                <w:sz w:val="19"/>
                <w:szCs w:val="19"/>
              </w:rPr>
              <w:t xml:space="preserve">Low TTT / High STT</w:t>
            </w:r>
          </w:p>
        </w:tc>
        <w:tc>
          <w:tcPr>
            <w:tcW w:type="dxa" w:w="3600"/>
            <w:shd w:fill="FFFFFF" w:color="auto" w:val="clear"/>
            <w:tcMar>
              <w:top w:type="dxa" w:w="80"/>
              <w:left w:type="dxa" w:w="120"/>
              <w:bottom w:type="dxa" w:w="80"/>
              <w:right w:type="dxa" w:w="120"/>
            </w:tcMar>
          </w:tcPr>
          <w:p>
            <w:r>
              <w:rPr>
                <w:b w:val="false"/>
                <w:bCs w:val="false"/>
                <w:color w:val="52514E"/>
                <w:sz w:val="19"/>
                <w:szCs w:val="19"/>
              </w:rPr>
              <w:t xml:space="preserve">Talk less, listen more</w:t>
            </w:r>
          </w:p>
        </w:tc>
        <w:tc>
          <w:tcPr>
            <w:tcW w:type="dxa" w:w="3880"/>
            <w:shd w:fill="FFFFFF" w:color="auto" w:val="clear"/>
            <w:tcMar>
              <w:top w:type="dxa" w:w="80"/>
              <w:left w:type="dxa" w:w="120"/>
              <w:bottom w:type="dxa" w:w="80"/>
              <w:right w:type="dxa" w:w="120"/>
            </w:tcMar>
          </w:tcPr>
          <w:p>
            <w:r>
              <w:rPr>
                <w:b w:val="false"/>
                <w:bCs w:val="false"/>
                <w:color w:val="52514E"/>
                <w:sz w:val="19"/>
                <w:szCs w:val="19"/>
              </w:rPr>
              <w:t xml:space="preserve">Spotlight Tokens</w:t>
            </w:r>
          </w:p>
        </w:tc>
      </w:tr>
      <w:tr>
        <w:tc>
          <w:tcPr>
            <w:tcW w:type="dxa" w:w="2600"/>
            <w:shd w:fill="F7F7F5" w:color="auto" w:val="clear"/>
            <w:tcMar>
              <w:top w:type="dxa" w:w="80"/>
              <w:left w:type="dxa" w:w="120"/>
              <w:bottom w:type="dxa" w:w="80"/>
              <w:right w:type="dxa" w:w="120"/>
            </w:tcMar>
          </w:tcPr>
          <w:p>
            <w:r>
              <w:rPr>
                <w:b/>
                <w:bCs/>
                <w:color w:val="0B0B0B"/>
                <w:sz w:val="19"/>
                <w:szCs w:val="19"/>
              </w:rPr>
              <w:t xml:space="preserve">Open before closed</w:t>
            </w:r>
          </w:p>
        </w:tc>
        <w:tc>
          <w:tcPr>
            <w:tcW w:type="dxa" w:w="3600"/>
            <w:shd w:fill="F7F7F5" w:color="auto" w:val="clear"/>
            <w:tcMar>
              <w:top w:type="dxa" w:w="80"/>
              <w:left w:type="dxa" w:w="120"/>
              <w:bottom w:type="dxa" w:w="80"/>
              <w:right w:type="dxa" w:w="120"/>
            </w:tcMar>
          </w:tcPr>
          <w:p>
            <w:r>
              <w:rPr>
                <w:b w:val="false"/>
                <w:bCs w:val="false"/>
                <w:color w:val="52514E"/>
                <w:sz w:val="19"/>
                <w:szCs w:val="19"/>
              </w:rPr>
              <w:t xml:space="preserve">“What do you do?” not “Do you…?”</w:t>
            </w:r>
          </w:p>
        </w:tc>
        <w:tc>
          <w:tcPr>
            <w:tcW w:type="dxa" w:w="3880"/>
            <w:shd w:fill="F7F7F5" w:color="auto" w:val="clear"/>
            <w:tcMar>
              <w:top w:type="dxa" w:w="80"/>
              <w:left w:type="dxa" w:w="120"/>
              <w:bottom w:type="dxa" w:w="80"/>
              <w:right w:type="dxa" w:w="120"/>
            </w:tcMar>
          </w:tcPr>
          <w:p>
            <w:r>
              <w:rPr>
                <w:b w:val="false"/>
                <w:bCs w:val="false"/>
                <w:color w:val="52514E"/>
                <w:sz w:val="19"/>
                <w:szCs w:val="19"/>
              </w:rPr>
              <w:t xml:space="preserve">How every Move is worded</w:t>
            </w:r>
          </w:p>
        </w:tc>
      </w:tr>
      <w:tr>
        <w:tc>
          <w:tcPr>
            <w:tcW w:type="dxa" w:w="2600"/>
            <w:shd w:fill="FFFFFF" w:color="auto" w:val="clear"/>
            <w:tcMar>
              <w:top w:type="dxa" w:w="80"/>
              <w:left w:type="dxa" w:w="120"/>
              <w:bottom w:type="dxa" w:w="80"/>
              <w:right w:type="dxa" w:w="120"/>
            </w:tcMar>
          </w:tcPr>
          <w:p>
            <w:r>
              <w:rPr>
                <w:b/>
                <w:bCs/>
                <w:color w:val="0B0B0B"/>
                <w:sz w:val="19"/>
                <w:szCs w:val="19"/>
              </w:rPr>
              <w:t xml:space="preserve">Recast, not correction</w:t>
            </w:r>
          </w:p>
        </w:tc>
        <w:tc>
          <w:tcPr>
            <w:tcW w:type="dxa" w:w="3600"/>
            <w:shd w:fill="FFFFFF" w:color="auto" w:val="clear"/>
            <w:tcMar>
              <w:top w:type="dxa" w:w="80"/>
              <w:left w:type="dxa" w:w="120"/>
              <w:bottom w:type="dxa" w:w="80"/>
              <w:right w:type="dxa" w:w="120"/>
            </w:tcMar>
          </w:tcPr>
          <w:p>
            <w:r>
              <w:rPr>
                <w:b w:val="false"/>
                <w:bCs w:val="false"/>
                <w:color w:val="52514E"/>
                <w:sz w:val="19"/>
                <w:szCs w:val="19"/>
              </w:rPr>
              <w:t xml:space="preserve">Echo it back right — don't stop to fix it</w:t>
            </w:r>
          </w:p>
        </w:tc>
        <w:tc>
          <w:tcPr>
            <w:tcW w:type="dxa" w:w="3880"/>
            <w:shd w:fill="FFFFFF" w:color="auto" w:val="clear"/>
            <w:tcMar>
              <w:top w:type="dxa" w:w="80"/>
              <w:left w:type="dxa" w:w="120"/>
              <w:bottom w:type="dxa" w:w="80"/>
              <w:right w:type="dxa" w:w="120"/>
            </w:tcMar>
          </w:tcPr>
          <w:p>
            <w:r>
              <w:rPr>
                <w:b w:val="false"/>
                <w:bCs w:val="false"/>
                <w:color w:val="52514E"/>
                <w:sz w:val="19"/>
                <w:szCs w:val="19"/>
              </w:rPr>
              <w:t xml:space="preserve">GM narration technique</w:t>
            </w:r>
          </w:p>
        </w:tc>
      </w:tr>
      <w:tr>
        <w:tc>
          <w:tcPr>
            <w:tcW w:type="dxa" w:w="2600"/>
            <w:shd w:fill="F7F7F5" w:color="auto" w:val="clear"/>
            <w:tcMar>
              <w:top w:type="dxa" w:w="80"/>
              <w:left w:type="dxa" w:w="120"/>
              <w:bottom w:type="dxa" w:w="80"/>
              <w:right w:type="dxa" w:w="120"/>
            </w:tcMar>
          </w:tcPr>
          <w:p>
            <w:r>
              <w:rPr>
                <w:b/>
                <w:bCs/>
                <w:color w:val="0B0B0B"/>
                <w:sz w:val="19"/>
                <w:szCs w:val="19"/>
              </w:rPr>
              <w:t xml:space="preserve">One task per scene</w:t>
            </w:r>
          </w:p>
        </w:tc>
        <w:tc>
          <w:tcPr>
            <w:tcW w:type="dxa" w:w="3600"/>
            <w:shd w:fill="F7F7F5" w:color="auto" w:val="clear"/>
            <w:tcMar>
              <w:top w:type="dxa" w:w="80"/>
              <w:left w:type="dxa" w:w="120"/>
              <w:bottom w:type="dxa" w:w="80"/>
              <w:right w:type="dxa" w:w="120"/>
            </w:tcMar>
          </w:tcPr>
          <w:p>
            <w:r>
              <w:rPr>
                <w:b w:val="false"/>
                <w:bCs w:val="false"/>
                <w:color w:val="52514E"/>
                <w:sz w:val="19"/>
                <w:szCs w:val="19"/>
              </w:rPr>
              <w:t xml:space="preserve">Design the task, then the plot</w:t>
            </w:r>
          </w:p>
        </w:tc>
        <w:tc>
          <w:tcPr>
            <w:tcW w:type="dxa" w:w="3880"/>
            <w:shd w:fill="F7F7F5" w:color="auto" w:val="clear"/>
            <w:tcMar>
              <w:top w:type="dxa" w:w="80"/>
              <w:left w:type="dxa" w:w="120"/>
              <w:bottom w:type="dxa" w:w="80"/>
              <w:right w:type="dxa" w:w="120"/>
            </w:tcMar>
          </w:tcPr>
          <w:p>
            <w:r>
              <w:rPr>
                <w:b w:val="false"/>
                <w:bCs w:val="false"/>
                <w:color w:val="52514E"/>
                <w:sz w:val="19"/>
                <w:szCs w:val="19"/>
              </w:rPr>
              <w:t xml:space="preserve">Move / linguistic tag alignment</w:t>
            </w:r>
          </w:p>
        </w:tc>
      </w:tr>
      <w:tr>
        <w:tc>
          <w:tcPr>
            <w:tcW w:type="dxa" w:w="2600"/>
            <w:shd w:fill="FFFFFF" w:color="auto" w:val="clear"/>
            <w:tcMar>
              <w:top w:type="dxa" w:w="80"/>
              <w:left w:type="dxa" w:w="120"/>
              <w:bottom w:type="dxa" w:w="80"/>
              <w:right w:type="dxa" w:w="120"/>
            </w:tcMar>
          </w:tcPr>
          <w:p>
            <w:r>
              <w:rPr>
                <w:b/>
                <w:bCs/>
                <w:color w:val="0B0B0B"/>
                <w:sz w:val="19"/>
                <w:szCs w:val="19"/>
              </w:rPr>
              <w:t xml:space="preserve">GM isn't the center</w:t>
            </w:r>
          </w:p>
        </w:tc>
        <w:tc>
          <w:tcPr>
            <w:tcW w:type="dxa" w:w="3600"/>
            <w:shd w:fill="FFFFFF" w:color="auto" w:val="clear"/>
            <w:tcMar>
              <w:top w:type="dxa" w:w="80"/>
              <w:left w:type="dxa" w:w="120"/>
              <w:bottom w:type="dxa" w:w="80"/>
              <w:right w:type="dxa" w:w="120"/>
            </w:tcMar>
          </w:tcPr>
          <w:p>
            <w:r>
              <w:rPr>
                <w:b w:val="false"/>
                <w:bCs w:val="false"/>
                <w:color w:val="52514E"/>
                <w:sz w:val="19"/>
                <w:szCs w:val="19"/>
              </w:rPr>
              <w:t xml:space="preserve">Success = student output, not your story</w:t>
            </w:r>
          </w:p>
        </w:tc>
        <w:tc>
          <w:tcPr>
            <w:tcW w:type="dxa" w:w="3880"/>
            <w:shd w:fill="FFFFFF" w:color="auto" w:val="clear"/>
            <w:tcMar>
              <w:top w:type="dxa" w:w="80"/>
              <w:left w:type="dxa" w:w="120"/>
              <w:bottom w:type="dxa" w:w="80"/>
              <w:right w:type="dxa" w:w="120"/>
            </w:tcMar>
          </w:tcPr>
          <w:p>
            <w:r>
              <w:rPr>
                <w:b w:val="false"/>
                <w:bCs w:val="false"/>
                <w:color w:val="52514E"/>
                <w:sz w:val="19"/>
                <w:szCs w:val="19"/>
              </w:rPr>
              <w:t xml:space="preserve">Post-session self-check (Ch. 6)</w:t>
            </w:r>
          </w:p>
        </w:tc>
      </w:tr>
      <w:tr>
        <w:tc>
          <w:tcPr>
            <w:tcW w:type="dxa" w:w="2600"/>
            <w:shd w:fill="F7F7F5" w:color="auto" w:val="clear"/>
            <w:tcMar>
              <w:top w:type="dxa" w:w="80"/>
              <w:left w:type="dxa" w:w="120"/>
              <w:bottom w:type="dxa" w:w="80"/>
              <w:right w:type="dxa" w:w="120"/>
            </w:tcMar>
          </w:tcPr>
          <w:p>
            <w:r>
              <w:rPr>
                <w:b/>
                <w:bCs/>
                <w:color w:val="0B0B0B"/>
                <w:sz w:val="19"/>
                <w:szCs w:val="19"/>
              </w:rPr>
              <w:t xml:space="preserve">Mistakes are data</w:t>
            </w:r>
          </w:p>
        </w:tc>
        <w:tc>
          <w:tcPr>
            <w:tcW w:type="dxa" w:w="3600"/>
            <w:shd w:fill="F7F7F5" w:color="auto" w:val="clear"/>
            <w:tcMar>
              <w:top w:type="dxa" w:w="80"/>
              <w:left w:type="dxa" w:w="120"/>
              <w:bottom w:type="dxa" w:w="80"/>
              <w:right w:type="dxa" w:w="120"/>
            </w:tcMar>
          </w:tcPr>
          <w:p>
            <w:r>
              <w:rPr>
                <w:b w:val="false"/>
                <w:bCs w:val="false"/>
                <w:color w:val="52514E"/>
                <w:sz w:val="19"/>
                <w:szCs w:val="19"/>
              </w:rPr>
              <w:t xml:space="preserve">“Mistakes are how we play”</w:t>
            </w:r>
          </w:p>
        </w:tc>
        <w:tc>
          <w:tcPr>
            <w:tcW w:type="dxa" w:w="3880"/>
            <w:shd w:fill="F7F7F5" w:color="auto" w:val="clear"/>
            <w:tcMar>
              <w:top w:type="dxa" w:w="80"/>
              <w:left w:type="dxa" w:w="120"/>
              <w:bottom w:type="dxa" w:w="80"/>
              <w:right w:type="dxa" w:w="120"/>
            </w:tcMar>
          </w:tcPr>
          <w:p>
            <w:r>
              <w:rPr>
                <w:b w:val="false"/>
                <w:bCs w:val="false"/>
                <w:color w:val="52514E"/>
                <w:sz w:val="19"/>
                <w:szCs w:val="19"/>
              </w:rPr>
              <w:t xml:space="preserve">Language Points</w:t>
            </w:r>
          </w:p>
        </w:tc>
      </w:tr>
    </w:tbl>
    <w:p>
      <w:pPr>
        <w:spacing w:after="200"/>
      </w:pPr>
    </w:p>
    <w:p>
      <w:pPr>
        <w:spacing w:after="160"/>
      </w:pPr>
      <w:r>
        <w:rPr>
          <w:i/>
          <w:iCs/>
          <w:color w:val="0B0B0B"/>
          <w:sz w:val="22"/>
          <w:szCs w:val="22"/>
        </w:rPr>
        <w:t xml:space="preserve">These six principles aren't a checklist to memorize before a session — they're already built into the system. Chapter 2 shows you how to run the 2d6 engine itself; Chapter 6 gives you the Session Map tool that turns Principle 5 into an actual weekly habit.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2026-07-27T21:36:51.006Z</dcterms:created>
  <dcterms:modified xsi:type="dcterms:W3CDTF">2026-07-27T21:36:51.006Z</dcterms:modified>
</cp:coreProperties>
</file>

<file path=docProps/custom.xml><?xml version="1.0" encoding="utf-8"?>
<Properties xmlns="http://schemas.openxmlformats.org/officeDocument/2006/custom-properties" xmlns:vt="http://schemas.openxmlformats.org/officeDocument/2006/docPropsVTypes"/>
</file>