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5276"/>
          <w:sz w:val="52"/>
          <w:szCs w:val="52"/>
        </w:rPr>
        <w:t xml:space="preserve">SKIN-NET KNOWLEDGE BASE</w:t>
      </w:r>
    </w:p>
    <w:p>
      <w:pPr>
        <w:spacing w:after="120" w:before="0"/>
        <w:jc w:val="center"/>
      </w:pPr>
      <w:r>
        <w:rPr>
          <w:rFonts w:ascii="Arial" w:cs="Arial" w:eastAsia="Arial" w:hAnsi="Arial"/>
          <w:color w:val="5D6D7E"/>
          <w:sz w:val="28"/>
          <w:szCs w:val="28"/>
        </w:rPr>
        <w:t xml:space="preserve">Clinical Reference for AI-Assisted Dermatology Detection</w:t>
      </w:r>
    </w:p>
    <w:p>
      <w:pPr>
        <w:spacing w:after="80" w:before="0"/>
        <w:jc w:val="center"/>
      </w:pPr>
      <w:r>
        <w:rPr>
          <w:rFonts w:ascii="Arial" w:cs="Arial" w:eastAsia="Arial" w:hAnsi="Arial"/>
          <w:color w:val="5D6D7E"/>
          <w:sz w:val="22"/>
          <w:szCs w:val="22"/>
        </w:rPr>
        <w:t xml:space="preserve">Capstone Project — WhatsApp Healthcare Bot | Skin-Net (EfficientNetB3)</w:t>
      </w:r>
    </w:p>
    <w:p>
      <w:pPr>
        <w:spacing w:after="1440" w:before="0"/>
        <w:jc w:val="center"/>
      </w:pPr>
      <w:r>
        <w:rPr>
          <w:rFonts w:ascii="Arial" w:cs="Arial" w:eastAsia="Arial" w:hAnsi="Arial"/>
          <w:color w:val="5D6D7E"/>
          <w:sz w:val="22"/>
          <w:szCs w:val="22"/>
        </w:rPr>
        <w:t xml:space="preserve">Methodist College of Engineering &amp; Technology | March 2026</w:t>
      </w:r>
    </w:p>
    <w:p>
      <w:pPr>
        <w:pBdr>
          <w:bottom w:val="single" w:color="2980B9" w:sz="6" w:space="1"/>
        </w:pBdr>
        <w:spacing w:after="120" w:before="120"/>
      </w:pPr>
    </w:p>
    <w:p>
      <w:pPr>
        <w:spacing w:after="200" w:before="320"/>
      </w:pPr>
      <w:r>
        <w:rPr>
          <w:rFonts w:ascii="Arial" w:cs="Arial" w:eastAsia="Arial" w:hAnsi="Arial"/>
          <w:b/>
          <w:bCs/>
          <w:color w:val="1A5276"/>
          <w:sz w:val="26"/>
          <w:szCs w:val="26"/>
        </w:rPr>
        <w:t xml:space="preserve">Five Disease Classes Covered in This Document:</w:t>
      </w:r>
    </w:p>
    <w:p>
      <w:pPr>
        <w:pStyle w:val="ListParagraph"/>
        <w:numPr>
          <w:ilvl w:val="0"/>
          <w:numId w:val="2"/>
        </w:numPr>
        <w:spacing w:after="80" w:before="80"/>
      </w:pPr>
      <w:r>
        <w:rPr>
          <w:rFonts w:ascii="Arial" w:cs="Arial" w:eastAsia="Arial" w:hAnsi="Arial"/>
          <w:b/>
          <w:bCs/>
          <w:color w:val="2E7D32"/>
          <w:sz w:val="24"/>
          <w:szCs w:val="24"/>
        </w:rPr>
        <w:t xml:space="preserve">DISEASE 1: ACNE VULGARIS</w:t>
      </w:r>
    </w:p>
    <w:p>
      <w:pPr>
        <w:pStyle w:val="ListParagraph"/>
        <w:numPr>
          <w:ilvl w:val="0"/>
          <w:numId w:val="2"/>
        </w:numPr>
        <w:spacing w:after="80" w:before="80"/>
      </w:pPr>
      <w:r>
        <w:rPr>
          <w:rFonts w:ascii="Arial" w:cs="Arial" w:eastAsia="Arial" w:hAnsi="Arial"/>
          <w:b/>
          <w:bCs/>
          <w:color w:val="B71C1C"/>
          <w:sz w:val="24"/>
          <w:szCs w:val="24"/>
        </w:rPr>
        <w:t xml:space="preserve">DISEASE 2: MELANOMA</w:t>
      </w:r>
    </w:p>
    <w:p>
      <w:pPr>
        <w:pStyle w:val="ListParagraph"/>
        <w:numPr>
          <w:ilvl w:val="0"/>
          <w:numId w:val="2"/>
        </w:numPr>
        <w:spacing w:after="80" w:before="80"/>
      </w:pPr>
      <w:r>
        <w:rPr>
          <w:rFonts w:ascii="Arial" w:cs="Arial" w:eastAsia="Arial" w:hAnsi="Arial"/>
          <w:b/>
          <w:bCs/>
          <w:color w:val="E65100"/>
          <w:sz w:val="24"/>
          <w:szCs w:val="24"/>
        </w:rPr>
        <w:t xml:space="preserve">DISEASE 3: SCALY LESIONS</w:t>
      </w:r>
    </w:p>
    <w:p>
      <w:pPr>
        <w:pStyle w:val="ListParagraph"/>
        <w:numPr>
          <w:ilvl w:val="0"/>
          <w:numId w:val="2"/>
        </w:numPr>
        <w:spacing w:after="80" w:before="80"/>
      </w:pPr>
      <w:r>
        <w:rPr>
          <w:rFonts w:ascii="Arial" w:cs="Arial" w:eastAsia="Arial" w:hAnsi="Arial"/>
          <w:b/>
          <w:bCs/>
          <w:color w:val="1565C0"/>
          <w:sz w:val="24"/>
          <w:szCs w:val="24"/>
        </w:rPr>
        <w:t xml:space="preserve">DISEASE 4: VITILIGO &amp; PIGMENTATION DISORDERS</w:t>
      </w:r>
    </w:p>
    <w:p>
      <w:pPr>
        <w:pStyle w:val="ListParagraph"/>
        <w:numPr>
          <w:ilvl w:val="0"/>
          <w:numId w:val="2"/>
        </w:numPr>
        <w:spacing w:after="80" w:before="80"/>
      </w:pPr>
      <w:r>
        <w:rPr>
          <w:rFonts w:ascii="Arial" w:cs="Arial" w:eastAsia="Arial" w:hAnsi="Arial"/>
          <w:b/>
          <w:bCs/>
          <w:color w:val="6A1B9A"/>
          <w:sz w:val="24"/>
          <w:szCs w:val="24"/>
        </w:rPr>
        <w:t xml:space="preserve">DISEASE 5: WARTS (VIRAL LESIONS)</w:t>
      </w:r>
    </w:p>
    <w:p>
      <w:pPr>
        <w:pBdr>
          <w:bottom w:val="single" w:color="2980B9" w:sz="6" w:space="1"/>
        </w:pBdr>
        <w:spacing w:after="120" w:before="120"/>
      </w:pPr>
    </w:p>
    <w:p>
      <w:r>
        <w:br w:type="page"/>
      </w:r>
    </w:p>
    <w:p>
      <w:pPr>
        <w:spacing w:after="160" w:before="320"/>
      </w:pPr>
      <w:r>
        <w:rPr>
          <w:rFonts w:ascii="Arial" w:cs="Arial" w:eastAsia="Arial" w:hAnsi="Arial"/>
          <w:b/>
          <w:bCs/>
          <w:color w:val="2E7D32"/>
          <w:sz w:val="38"/>
          <w:szCs w:val="38"/>
        </w:rPr>
        <w:t xml:space="preserve">DISEASE 1: ACNE VULGARIS</w:t>
      </w:r>
    </w:p>
    <w:p>
      <w:pPr>
        <w:pBdr>
          <w:bottom w:val="single" w:color="2980B9" w:sz="6" w:space="1"/>
        </w:pBdr>
        <w:spacing w:after="120" w:before="120"/>
      </w:pPr>
    </w:p>
    <w:p>
      <w:pPr>
        <w:spacing w:after="120" w:before="160"/>
      </w:pPr>
      <w:r>
        <w:rPr>
          <w:rFonts w:ascii="Arial" w:cs="Arial" w:eastAsia="Arial" w:hAnsi="Arial"/>
          <w:b/>
          <w:bCs/>
          <w:color w:val="2E7D32"/>
          <w:sz w:val="24"/>
          <w:szCs w:val="24"/>
        </w:rPr>
        <w:t xml:space="preserve">OVERVIEW</w:t>
      </w:r>
    </w:p>
    <w:p>
      <w:pPr>
        <w:spacing w:after="80" w:before="80" w:line="300"/>
      </w:pPr>
      <w:r>
        <w:rPr>
          <w:rFonts w:ascii="Arial" w:cs="Arial" w:eastAsia="Arial" w:hAnsi="Arial"/>
          <w:color w:val="1C2833"/>
          <w:sz w:val="22"/>
          <w:szCs w:val="22"/>
        </w:rPr>
        <w:t xml:space="preserve">Acne vulgaris is one of the most prevalent dermatological conditions globally, affecting approximately 85% of people between the ages of 12 and 24. It is a chronic inflammatory skin disease involving the pilosebaceous unit (the hair follicle and its associated sebaceous gland). Acne arises when hair follicles become clogged with sebum (skin oil) and dead skin cells, creating an environment where bacteria can thrive and trigger inflammation.</w:t>
      </w:r>
    </w:p>
    <w:p>
      <w:pPr>
        <w:spacing w:after="100" w:before="200"/>
      </w:pPr>
      <w:r>
        <w:rPr>
          <w:rFonts w:ascii="Arial" w:cs="Arial" w:eastAsia="Arial" w:hAnsi="Arial"/>
          <w:b/>
          <w:bCs/>
          <w:color w:val="2E7D32"/>
          <w:sz w:val="24"/>
          <w:szCs w:val="24"/>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Type</w:t>
            </w:r>
          </w:p>
        </w:tc>
        <w:tc>
          <w:tcPr>
            <w:tcW w:type="dxa" w:w="7160"/>
            <w:tcBorders>
              <w:top w:val="single" w:color="AED6F1" w:sz="1"/>
              <w:left w:val="single" w:color="AED6F1" w:sz="1"/>
              <w:bottom w:val="single" w:color="AED6F1" w:sz="1"/>
              <w:right w:val="single" w:color="AED6F1" w:sz="1"/>
            </w:tcBorders>
            <w:shd w:fill="E8F5E9" w:val="clear"/>
            <w:tcMar>
              <w:top w:type="dxa" w:w="80"/>
              <w:left w:type="dxa" w:w="120"/>
              <w:bottom w:type="dxa" w:w="80"/>
              <w:right w:type="dxa" w:w="120"/>
            </w:tcMar>
          </w:tcPr>
          <w:p>
            <w:r>
              <w:rPr>
                <w:rFonts w:ascii="Arial" w:cs="Arial" w:eastAsia="Arial" w:hAnsi="Arial"/>
                <w:color w:val="1C2833"/>
                <w:sz w:val="20"/>
                <w:szCs w:val="20"/>
              </w:rPr>
              <w:t xml:space="preserve">Inflammatory skin disease (Pilosebaceous unit)</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Prevalence</w:t>
            </w:r>
          </w:p>
        </w:tc>
        <w:tc>
          <w:tcPr>
            <w:tcW w:type="dxa" w:w="7160"/>
            <w:tcBorders>
              <w:top w:val="single" w:color="AED6F1" w:sz="1"/>
              <w:left w:val="single" w:color="AED6F1" w:sz="1"/>
              <w:bottom w:val="single" w:color="AED6F1" w:sz="1"/>
              <w:right w:val="single" w:color="AED6F1" w:sz="1"/>
            </w:tcBorders>
            <w:shd w:fill="E8F5E9" w:val="clear"/>
            <w:tcMar>
              <w:top w:type="dxa" w:w="80"/>
              <w:left w:type="dxa" w:w="120"/>
              <w:bottom w:type="dxa" w:w="80"/>
              <w:right w:type="dxa" w:w="120"/>
            </w:tcMar>
          </w:tcPr>
          <w:p>
            <w:r>
              <w:rPr>
                <w:rFonts w:ascii="Arial" w:cs="Arial" w:eastAsia="Arial" w:hAnsi="Arial"/>
                <w:color w:val="1C2833"/>
                <w:sz w:val="20"/>
                <w:szCs w:val="20"/>
              </w:rPr>
              <w:t xml:space="preserve">~85% of adolescents; affects all age groups</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Primary Cause</w:t>
            </w:r>
          </w:p>
        </w:tc>
        <w:tc>
          <w:tcPr>
            <w:tcW w:type="dxa" w:w="7160"/>
            <w:tcBorders>
              <w:top w:val="single" w:color="AED6F1" w:sz="1"/>
              <w:left w:val="single" w:color="AED6F1" w:sz="1"/>
              <w:bottom w:val="single" w:color="AED6F1" w:sz="1"/>
              <w:right w:val="single" w:color="AED6F1" w:sz="1"/>
            </w:tcBorders>
            <w:shd w:fill="E8F5E9" w:val="clear"/>
            <w:tcMar>
              <w:top w:type="dxa" w:w="80"/>
              <w:left w:type="dxa" w:w="120"/>
              <w:bottom w:type="dxa" w:w="80"/>
              <w:right w:type="dxa" w:w="120"/>
            </w:tcMar>
          </w:tcPr>
          <w:p>
            <w:r>
              <w:rPr>
                <w:rFonts w:ascii="Arial" w:cs="Arial" w:eastAsia="Arial" w:hAnsi="Arial"/>
                <w:color w:val="1C2833"/>
                <w:sz w:val="20"/>
                <w:szCs w:val="20"/>
              </w:rPr>
              <w:t xml:space="preserve">Clogged follicles + Cutibacterium acnes bacteria</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Common Sites</w:t>
            </w:r>
          </w:p>
        </w:tc>
        <w:tc>
          <w:tcPr>
            <w:tcW w:type="dxa" w:w="7160"/>
            <w:tcBorders>
              <w:top w:val="single" w:color="AED6F1" w:sz="1"/>
              <w:left w:val="single" w:color="AED6F1" w:sz="1"/>
              <w:bottom w:val="single" w:color="AED6F1" w:sz="1"/>
              <w:right w:val="single" w:color="AED6F1" w:sz="1"/>
            </w:tcBorders>
            <w:shd w:fill="E8F5E9" w:val="clear"/>
            <w:tcMar>
              <w:top w:type="dxa" w:w="80"/>
              <w:left w:type="dxa" w:w="120"/>
              <w:bottom w:type="dxa" w:w="80"/>
              <w:right w:type="dxa" w:w="120"/>
            </w:tcMar>
          </w:tcPr>
          <w:p>
            <w:r>
              <w:rPr>
                <w:rFonts w:ascii="Arial" w:cs="Arial" w:eastAsia="Arial" w:hAnsi="Arial"/>
                <w:color w:val="1C2833"/>
                <w:sz w:val="20"/>
                <w:szCs w:val="20"/>
              </w:rPr>
              <w:t xml:space="preserve">Face, neck, chest, back, shoulders</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AI Detection</w:t>
            </w:r>
          </w:p>
        </w:tc>
        <w:tc>
          <w:tcPr>
            <w:tcW w:type="dxa" w:w="7160"/>
            <w:tcBorders>
              <w:top w:val="single" w:color="AED6F1" w:sz="1"/>
              <w:left w:val="single" w:color="AED6F1" w:sz="1"/>
              <w:bottom w:val="single" w:color="AED6F1" w:sz="1"/>
              <w:right w:val="single" w:color="AED6F1" w:sz="1"/>
            </w:tcBorders>
            <w:shd w:fill="E8F5E9" w:val="clear"/>
            <w:tcMar>
              <w:top w:type="dxa" w:w="80"/>
              <w:left w:type="dxa" w:w="120"/>
              <w:bottom w:type="dxa" w:w="80"/>
              <w:right w:type="dxa" w:w="120"/>
            </w:tcMar>
          </w:tcPr>
          <w:p>
            <w:r>
              <w:rPr>
                <w:rFonts w:ascii="Arial" w:cs="Arial" w:eastAsia="Arial" w:hAnsi="Arial"/>
                <w:color w:val="1C2833"/>
                <w:sz w:val="20"/>
                <w:szCs w:val="20"/>
              </w:rPr>
              <w:t xml:space="preserve">CNN-based grading of comedones, papules, pustules, nodules</w:t>
            </w:r>
          </w:p>
        </w:tc>
      </w:tr>
    </w:tbl>
    <w:p>
      <w:pPr>
        <w:spacing w:after="100" w:before="220"/>
      </w:pPr>
      <w:r>
        <w:rPr>
          <w:rFonts w:ascii="Arial" w:cs="Arial" w:eastAsia="Arial" w:hAnsi="Arial"/>
          <w:b/>
          <w:bCs/>
          <w:color w:val="2E7D32"/>
          <w:sz w:val="24"/>
          <w:szCs w:val="24"/>
        </w:rPr>
        <w:t xml:space="preserve">PATHOPHYSIOLOGY</w:t>
      </w:r>
    </w:p>
    <w:p>
      <w:pPr>
        <w:spacing w:after="80" w:before="80" w:line="300"/>
      </w:pPr>
      <w:r>
        <w:rPr>
          <w:rFonts w:ascii="Arial" w:cs="Arial" w:eastAsia="Arial" w:hAnsi="Arial"/>
          <w:color w:val="1C2833"/>
          <w:sz w:val="22"/>
          <w:szCs w:val="22"/>
        </w:rPr>
        <w:t xml:space="preserve">The development of acne involves four key mechanisms: (1) Increased sebum production driven by androgens, (2) Abnormal follicular keratinization causing blockage, (3) Proliferation of Cutibacterium acnes (formerly Propionibacterium acnes) bacteria, and (4) Inflammatory response triggered by bacterial byproducts. Hormonal changes — particularly during puberty, menstruation, or stress — stimulate sebaceous glands to overproduce oil, setting off this cascade.</w:t>
      </w:r>
    </w:p>
    <w:p>
      <w:pPr>
        <w:spacing w:after="100" w:before="220"/>
      </w:pPr>
      <w:r>
        <w:rPr>
          <w:rFonts w:ascii="Arial" w:cs="Arial" w:eastAsia="Arial" w:hAnsi="Arial"/>
          <w:b/>
          <w:bCs/>
          <w:color w:val="2E7D32"/>
          <w:sz w:val="24"/>
          <w:szCs w:val="24"/>
        </w:rPr>
        <w:t xml:space="preserve">CLASSIFICATION &amp; LESION TYPES</w:t>
      </w:r>
    </w:p>
    <w:p>
      <w:pPr>
        <w:pStyle w:val="ListParagraph"/>
        <w:numPr>
          <w:ilvl w:val="0"/>
          <w:numId w:val="2"/>
        </w:numPr>
        <w:spacing w:after="60" w:before="60"/>
      </w:pPr>
      <w:r>
        <w:rPr>
          <w:rFonts w:ascii="Arial" w:cs="Arial" w:eastAsia="Arial" w:hAnsi="Arial"/>
          <w:b w:val="false"/>
          <w:bCs w:val="false"/>
          <w:color w:val="1C2833"/>
          <w:sz w:val="22"/>
          <w:szCs w:val="22"/>
        </w:rPr>
        <w:t xml:space="preserve">Comedones (non-inflammatory): Whiteheads (closed) and blackheads (open) — basic blocked follicles</w:t>
      </w:r>
    </w:p>
    <w:p>
      <w:pPr>
        <w:pStyle w:val="ListParagraph"/>
        <w:numPr>
          <w:ilvl w:val="0"/>
          <w:numId w:val="2"/>
        </w:numPr>
        <w:spacing w:after="60" w:before="60"/>
      </w:pPr>
      <w:r>
        <w:rPr>
          <w:rFonts w:ascii="Arial" w:cs="Arial" w:eastAsia="Arial" w:hAnsi="Arial"/>
          <w:b w:val="false"/>
          <w:bCs w:val="false"/>
          <w:color w:val="1C2833"/>
          <w:sz w:val="22"/>
          <w:szCs w:val="22"/>
        </w:rPr>
        <w:t xml:space="preserve">Papules: Small, raised, red bumps — early inflammatory lesions</w:t>
      </w:r>
    </w:p>
    <w:p>
      <w:pPr>
        <w:pStyle w:val="ListParagraph"/>
        <w:numPr>
          <w:ilvl w:val="0"/>
          <w:numId w:val="2"/>
        </w:numPr>
        <w:spacing w:after="60" w:before="60"/>
      </w:pPr>
      <w:r>
        <w:rPr>
          <w:rFonts w:ascii="Arial" w:cs="Arial" w:eastAsia="Arial" w:hAnsi="Arial"/>
          <w:b w:val="false"/>
          <w:bCs w:val="false"/>
          <w:color w:val="1C2833"/>
          <w:sz w:val="22"/>
          <w:szCs w:val="22"/>
        </w:rPr>
        <w:t xml:space="preserve">Pustules: Papules filled with pus — active bacterial infection</w:t>
      </w:r>
    </w:p>
    <w:p>
      <w:pPr>
        <w:pStyle w:val="ListParagraph"/>
        <w:numPr>
          <w:ilvl w:val="0"/>
          <w:numId w:val="2"/>
        </w:numPr>
        <w:spacing w:after="60" w:before="60"/>
      </w:pPr>
      <w:r>
        <w:rPr>
          <w:rFonts w:ascii="Arial" w:cs="Arial" w:eastAsia="Arial" w:hAnsi="Arial"/>
          <w:b w:val="false"/>
          <w:bCs w:val="false"/>
          <w:color w:val="1C2833"/>
          <w:sz w:val="22"/>
          <w:szCs w:val="22"/>
        </w:rPr>
        <w:t xml:space="preserve">Nodules: Large, solid, painful lumps deep in the skin — severe form</w:t>
      </w:r>
    </w:p>
    <w:p>
      <w:pPr>
        <w:pStyle w:val="ListParagraph"/>
        <w:numPr>
          <w:ilvl w:val="0"/>
          <w:numId w:val="2"/>
        </w:numPr>
        <w:spacing w:after="60" w:before="60"/>
      </w:pPr>
      <w:r>
        <w:rPr>
          <w:rFonts w:ascii="Arial" w:cs="Arial" w:eastAsia="Arial" w:hAnsi="Arial"/>
          <w:b w:val="false"/>
          <w:bCs w:val="false"/>
          <w:color w:val="1C2833"/>
          <w:sz w:val="22"/>
          <w:szCs w:val="22"/>
        </w:rPr>
        <w:t xml:space="preserve">Cysts: Pus-filled lumps — most severe; likely to scar</w:t>
      </w:r>
    </w:p>
    <w:p>
      <w:pPr>
        <w:pStyle w:val="ListParagraph"/>
        <w:numPr>
          <w:ilvl w:val="0"/>
          <w:numId w:val="2"/>
        </w:numPr>
        <w:spacing w:after="60" w:before="60"/>
      </w:pPr>
      <w:r>
        <w:rPr>
          <w:rFonts w:ascii="Arial" w:cs="Arial" w:eastAsia="Arial" w:hAnsi="Arial"/>
          <w:b w:val="false"/>
          <w:bCs w:val="false"/>
          <w:color w:val="1C2833"/>
          <w:sz w:val="22"/>
          <w:szCs w:val="22"/>
        </w:rPr>
        <w:t xml:space="preserve">Severity grading: Mild (few non-inflammatory), Moderate (mixed), Severe (nodular/cystic)</w:t>
      </w:r>
    </w:p>
    <w:p>
      <w:pPr>
        <w:spacing w:after="100" w:before="220"/>
      </w:pPr>
      <w:r>
        <w:rPr>
          <w:rFonts w:ascii="Arial" w:cs="Arial" w:eastAsia="Arial" w:hAnsi="Arial"/>
          <w:b/>
          <w:bCs/>
          <w:color w:val="2E7D32"/>
          <w:sz w:val="24"/>
          <w:szCs w:val="24"/>
        </w:rPr>
        <w:t xml:space="preserve">TREATMENT APPROACHES</w:t>
      </w:r>
    </w:p>
    <w:p>
      <w:pPr>
        <w:pStyle w:val="ListParagraph"/>
        <w:numPr>
          <w:ilvl w:val="0"/>
          <w:numId w:val="2"/>
        </w:numPr>
        <w:spacing w:after="60" w:before="60"/>
      </w:pPr>
      <w:r>
        <w:rPr>
          <w:rFonts w:ascii="Arial" w:cs="Arial" w:eastAsia="Arial" w:hAnsi="Arial"/>
          <w:b w:val="false"/>
          <w:bCs w:val="false"/>
          <w:color w:val="1C2833"/>
          <w:sz w:val="22"/>
          <w:szCs w:val="22"/>
        </w:rPr>
        <w:t xml:space="preserve">Topical retinoids (tretinoin, adapalene) — normalize follicular keratinization</w:t>
      </w:r>
    </w:p>
    <w:p>
      <w:pPr>
        <w:pStyle w:val="ListParagraph"/>
        <w:numPr>
          <w:ilvl w:val="0"/>
          <w:numId w:val="2"/>
        </w:numPr>
        <w:spacing w:after="60" w:before="60"/>
      </w:pPr>
      <w:r>
        <w:rPr>
          <w:rFonts w:ascii="Arial" w:cs="Arial" w:eastAsia="Arial" w:hAnsi="Arial"/>
          <w:b w:val="false"/>
          <w:bCs w:val="false"/>
          <w:color w:val="1C2833"/>
          <w:sz w:val="22"/>
          <w:szCs w:val="22"/>
        </w:rPr>
        <w:t xml:space="preserve">Benzoyl peroxide — kills C. acnes bacteria, reduces inflammation</w:t>
      </w:r>
    </w:p>
    <w:p>
      <w:pPr>
        <w:pStyle w:val="ListParagraph"/>
        <w:numPr>
          <w:ilvl w:val="0"/>
          <w:numId w:val="2"/>
        </w:numPr>
        <w:spacing w:after="60" w:before="60"/>
      </w:pPr>
      <w:r>
        <w:rPr>
          <w:rFonts w:ascii="Arial" w:cs="Arial" w:eastAsia="Arial" w:hAnsi="Arial"/>
          <w:b w:val="false"/>
          <w:bCs w:val="false"/>
          <w:color w:val="1C2833"/>
          <w:sz w:val="22"/>
          <w:szCs w:val="22"/>
        </w:rPr>
        <w:t xml:space="preserve">Topical/oral antibiotics — target bacterial overgrowth (clindamycin, doxycycline)</w:t>
      </w:r>
    </w:p>
    <w:p>
      <w:pPr>
        <w:pStyle w:val="ListParagraph"/>
        <w:numPr>
          <w:ilvl w:val="0"/>
          <w:numId w:val="2"/>
        </w:numPr>
        <w:spacing w:after="60" w:before="60"/>
      </w:pPr>
      <w:r>
        <w:rPr>
          <w:rFonts w:ascii="Arial" w:cs="Arial" w:eastAsia="Arial" w:hAnsi="Arial"/>
          <w:b w:val="false"/>
          <w:bCs w:val="false"/>
          <w:color w:val="1C2833"/>
          <w:sz w:val="22"/>
          <w:szCs w:val="22"/>
        </w:rPr>
        <w:t xml:space="preserve">Hormonal therapy — oral contraceptives or spironolactone for hormonal acne</w:t>
      </w:r>
    </w:p>
    <w:p>
      <w:pPr>
        <w:pStyle w:val="ListParagraph"/>
        <w:numPr>
          <w:ilvl w:val="0"/>
          <w:numId w:val="2"/>
        </w:numPr>
        <w:spacing w:after="60" w:before="60"/>
      </w:pPr>
      <w:r>
        <w:rPr>
          <w:rFonts w:ascii="Arial" w:cs="Arial" w:eastAsia="Arial" w:hAnsi="Arial"/>
          <w:b w:val="false"/>
          <w:bCs w:val="false"/>
          <w:color w:val="1C2833"/>
          <w:sz w:val="22"/>
          <w:szCs w:val="22"/>
        </w:rPr>
        <w:t xml:space="preserve">Isotretinoin (Accutane) — powerful oral retinoid for severe, resistant acne</w:t>
      </w:r>
    </w:p>
    <w:p>
      <w:pPr>
        <w:spacing w:after="100" w:before="220"/>
      </w:pPr>
      <w:r>
        <w:rPr>
          <w:rFonts w:ascii="Arial" w:cs="Arial" w:eastAsia="Arial" w:hAnsi="Arial"/>
          <w:b/>
          <w:bCs/>
          <w:color w:val="2E7D32"/>
          <w:sz w:val="24"/>
          <w:szCs w:val="24"/>
        </w:rPr>
        <w:t xml:space="preserve">RELEVANCE TO SKIN-NET (AI MODEL)</w:t>
      </w:r>
    </w:p>
    <w:p>
      <w:pPr>
        <w:spacing w:after="80" w:before="80" w:line="300"/>
      </w:pPr>
      <w:r>
        <w:rPr>
          <w:rFonts w:ascii="Arial" w:cs="Arial" w:eastAsia="Arial" w:hAnsi="Arial"/>
          <w:color w:val="1C2833"/>
          <w:sz w:val="22"/>
          <w:szCs w:val="22"/>
        </w:rPr>
        <w:t xml:space="preserve">In the context of your Skin-Net EfficientNetB3 model, acne classification typically focuses on identifying the distribution and type of lesions. Key challenges include distinguishing between pustular acne and early stage folliculitis, and grading severity from a single image. ABCD rule features are less relevant here; instead, texture and distribution patterns dominate. The PAD-UFES-20 and DermNet datasets contain clinical acne images suitable for training.</w:t>
      </w:r>
    </w:p>
    <w:p>
      <w:pPr>
        <w:spacing w:after="100" w:before="220"/>
      </w:pPr>
      <w:r>
        <w:rPr>
          <w:rFonts w:ascii="Arial" w:cs="Arial" w:eastAsia="Arial" w:hAnsi="Arial"/>
          <w:b/>
          <w:bCs/>
          <w:color w:val="2E7D32"/>
          <w:sz w:val="24"/>
          <w:szCs w:val="24"/>
        </w:rPr>
        <w:t xml:space="preserve">DATASETS &amp; RESOURCES FOR KNOWLEDGE BASE ENRICHMENT</w:t>
      </w:r>
    </w:p>
    <w:p>
      <w:pPr>
        <w:pStyle w:val="ListParagraph"/>
        <w:numPr>
          <w:ilvl w:val="0"/>
          <w:numId w:val="2"/>
        </w:numPr>
        <w:spacing w:after="60" w:before="60"/>
      </w:pPr>
      <w:hyperlink w:history="1" r:id="rIdvy3q3r22bnyleqtxcsyyy">
        <w:r>
          <w:rPr>
            <w:rFonts w:ascii="Arial" w:cs="Arial" w:eastAsia="Arial" w:hAnsi="Arial"/>
            <w:color w:val="1155CC"/>
            <w:sz w:val="22"/>
            <w:szCs w:val="22"/>
            <w:u w:val="single"/>
          </w:rPr>
          <w:t xml:space="preserve">DermNet Acne Dataset (Kaggle): https://www.kaggle.com/datasets/shubhamgoel27/dermnet</w:t>
        </w:r>
      </w:hyperlink>
    </w:p>
    <w:p>
      <w:pPr>
        <w:pStyle w:val="ListParagraph"/>
        <w:numPr>
          <w:ilvl w:val="0"/>
          <w:numId w:val="2"/>
        </w:numPr>
        <w:spacing w:after="60" w:before="60"/>
      </w:pPr>
      <w:hyperlink w:history="1" r:id="rIdt4ucf7devrudzz11mia-g">
        <w:r>
          <w:rPr>
            <w:rFonts w:ascii="Arial" w:cs="Arial" w:eastAsia="Arial" w:hAnsi="Arial"/>
            <w:color w:val="1155CC"/>
            <w:sz w:val="22"/>
            <w:szCs w:val="22"/>
            <w:u w:val="single"/>
          </w:rPr>
          <w:t xml:space="preserve">ACNE04 Dataset (Graded acne images): https://github.com/xpwu95/LDL</w:t>
        </w:r>
      </w:hyperlink>
    </w:p>
    <w:p>
      <w:pPr>
        <w:pStyle w:val="ListParagraph"/>
        <w:numPr>
          <w:ilvl w:val="0"/>
          <w:numId w:val="2"/>
        </w:numPr>
        <w:spacing w:after="60" w:before="60"/>
      </w:pPr>
      <w:hyperlink w:history="1" r:id="rIdeyif-js2tko_9aqqbamo2">
        <w:r>
          <w:rPr>
            <w:rFonts w:ascii="Arial" w:cs="Arial" w:eastAsia="Arial" w:hAnsi="Arial"/>
            <w:color w:val="1155CC"/>
            <w:sz w:val="22"/>
            <w:szCs w:val="22"/>
            <w:u w:val="single"/>
          </w:rPr>
          <w:t xml:space="preserve">ISIC Archive (broad skin conditions): https://www.isic-archive.com/</w:t>
        </w:r>
      </w:hyperlink>
    </w:p>
    <w:p>
      <w:pPr>
        <w:pStyle w:val="ListParagraph"/>
        <w:numPr>
          <w:ilvl w:val="0"/>
          <w:numId w:val="2"/>
        </w:numPr>
        <w:spacing w:after="60" w:before="60"/>
      </w:pPr>
      <w:hyperlink w:history="1" r:id="rIdrhljp4my4lni6pit9613r">
        <w:r>
          <w:rPr>
            <w:rFonts w:ascii="Arial" w:cs="Arial" w:eastAsia="Arial" w:hAnsi="Arial"/>
            <w:color w:val="1155CC"/>
            <w:sz w:val="22"/>
            <w:szCs w:val="22"/>
            <w:u w:val="single"/>
          </w:rPr>
          <w:t xml:space="preserve">DermNet NZ Clinical Reference: https://dermnetnz.org/topics/acne</w:t>
        </w:r>
      </w:hyperlink>
    </w:p>
    <w:p>
      <w:pPr>
        <w:pBdr>
          <w:bottom w:val="single" w:color="2980B9" w:sz="6" w:space="1"/>
        </w:pBdr>
        <w:spacing w:after="120" w:before="120"/>
      </w:pPr>
    </w:p>
    <w:p>
      <w:r>
        <w:br w:type="page"/>
      </w:r>
    </w:p>
    <w:p>
      <w:pPr>
        <w:spacing w:after="160" w:before="320"/>
      </w:pPr>
      <w:r>
        <w:rPr>
          <w:rFonts w:ascii="Arial" w:cs="Arial" w:eastAsia="Arial" w:hAnsi="Arial"/>
          <w:b/>
          <w:bCs/>
          <w:color w:val="B71C1C"/>
          <w:sz w:val="38"/>
          <w:szCs w:val="38"/>
        </w:rPr>
        <w:t xml:space="preserve">DISEASE 2: MELANOMA</w:t>
      </w:r>
    </w:p>
    <w:p>
      <w:pPr>
        <w:pBdr>
          <w:bottom w:val="single" w:color="2980B9" w:sz="6" w:space="1"/>
        </w:pBdr>
        <w:spacing w:after="120" w:before="120"/>
      </w:pPr>
    </w:p>
    <w:p>
      <w:pPr>
        <w:spacing w:after="120" w:before="160"/>
      </w:pPr>
      <w:r>
        <w:rPr>
          <w:rFonts w:ascii="Arial" w:cs="Arial" w:eastAsia="Arial" w:hAnsi="Arial"/>
          <w:b/>
          <w:bCs/>
          <w:color w:val="B71C1C"/>
          <w:sz w:val="24"/>
          <w:szCs w:val="24"/>
        </w:rPr>
        <w:t xml:space="preserve">OVERVIEW</w:t>
      </w:r>
    </w:p>
    <w:p>
      <w:pPr>
        <w:spacing w:after="80" w:before="80" w:line="300"/>
      </w:pPr>
      <w:r>
        <w:rPr>
          <w:rFonts w:ascii="Arial" w:cs="Arial" w:eastAsia="Arial" w:hAnsi="Arial"/>
          <w:color w:val="1C2833"/>
          <w:sz w:val="22"/>
          <w:szCs w:val="22"/>
        </w:rPr>
        <w:t xml:space="preserve">Melanoma is the most dangerous form of skin cancer, originating in melanocytes — the pigment-producing cells of the skin. Although it accounts for only about 1% of all skin cancers, melanoma is responsible for the majority of skin cancer deaths. It is highly aggressive and, if detected late, spreads rapidly to lymph nodes and other organs. Early detection, ideally by dermoscopic AI analysis, can raise the 5-year survival rate from around 25% (late stage) to over 98% (stage I).</w:t>
      </w:r>
    </w:p>
    <w:p>
      <w:pPr>
        <w:spacing w:after="100" w:before="200"/>
      </w:pPr>
      <w:r>
        <w:rPr>
          <w:rFonts w:ascii="Arial" w:cs="Arial" w:eastAsia="Arial" w:hAnsi="Arial"/>
          <w:b/>
          <w:bCs/>
          <w:color w:val="B71C1C"/>
          <w:sz w:val="24"/>
          <w:szCs w:val="24"/>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Type</w:t>
            </w:r>
          </w:p>
        </w:tc>
        <w:tc>
          <w:tcPr>
            <w:tcW w:type="dxa" w:w="7160"/>
            <w:tcBorders>
              <w:top w:val="single" w:color="AED6F1" w:sz="1"/>
              <w:left w:val="single" w:color="AED6F1" w:sz="1"/>
              <w:bottom w:val="single" w:color="AED6F1" w:sz="1"/>
              <w:right w:val="single" w:color="AED6F1" w:sz="1"/>
            </w:tcBorders>
            <w:shd w:fill="FCE4EC" w:val="clear"/>
            <w:tcMar>
              <w:top w:type="dxa" w:w="80"/>
              <w:left w:type="dxa" w:w="120"/>
              <w:bottom w:type="dxa" w:w="80"/>
              <w:right w:type="dxa" w:w="120"/>
            </w:tcMar>
          </w:tcPr>
          <w:p>
            <w:r>
              <w:rPr>
                <w:rFonts w:ascii="Arial" w:cs="Arial" w:eastAsia="Arial" w:hAnsi="Arial"/>
                <w:color w:val="1C2833"/>
                <w:sz w:val="20"/>
                <w:szCs w:val="20"/>
              </w:rPr>
              <w:t xml:space="preserve">Malignant cancer of melanocytes</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Prevalence</w:t>
            </w:r>
          </w:p>
        </w:tc>
        <w:tc>
          <w:tcPr>
            <w:tcW w:type="dxa" w:w="7160"/>
            <w:tcBorders>
              <w:top w:val="single" w:color="AED6F1" w:sz="1"/>
              <w:left w:val="single" w:color="AED6F1" w:sz="1"/>
              <w:bottom w:val="single" w:color="AED6F1" w:sz="1"/>
              <w:right w:val="single" w:color="AED6F1" w:sz="1"/>
            </w:tcBorders>
            <w:shd w:fill="FCE4EC" w:val="clear"/>
            <w:tcMar>
              <w:top w:type="dxa" w:w="80"/>
              <w:left w:type="dxa" w:w="120"/>
              <w:bottom w:type="dxa" w:w="80"/>
              <w:right w:type="dxa" w:w="120"/>
            </w:tcMar>
          </w:tcPr>
          <w:p>
            <w:r>
              <w:rPr>
                <w:rFonts w:ascii="Arial" w:cs="Arial" w:eastAsia="Arial" w:hAnsi="Arial"/>
                <w:color w:val="1C2833"/>
                <w:sz w:val="20"/>
                <w:szCs w:val="20"/>
              </w:rPr>
              <w:t xml:space="preserve">~325,000 new cases/year globally</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Risk Factors</w:t>
            </w:r>
          </w:p>
        </w:tc>
        <w:tc>
          <w:tcPr>
            <w:tcW w:type="dxa" w:w="7160"/>
            <w:tcBorders>
              <w:top w:val="single" w:color="AED6F1" w:sz="1"/>
              <w:left w:val="single" w:color="AED6F1" w:sz="1"/>
              <w:bottom w:val="single" w:color="AED6F1" w:sz="1"/>
              <w:right w:val="single" w:color="AED6F1" w:sz="1"/>
            </w:tcBorders>
            <w:shd w:fill="FCE4EC" w:val="clear"/>
            <w:tcMar>
              <w:top w:type="dxa" w:w="80"/>
              <w:left w:type="dxa" w:w="120"/>
              <w:bottom w:type="dxa" w:w="80"/>
              <w:right w:type="dxa" w:w="120"/>
            </w:tcMar>
          </w:tcPr>
          <w:p>
            <w:r>
              <w:rPr>
                <w:rFonts w:ascii="Arial" w:cs="Arial" w:eastAsia="Arial" w:hAnsi="Arial"/>
                <w:color w:val="1C2833"/>
                <w:sz w:val="20"/>
                <w:szCs w:val="20"/>
              </w:rPr>
              <w:t xml:space="preserve">UV exposure, fair skin, family history, many moles</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Survival Rate</w:t>
            </w:r>
          </w:p>
        </w:tc>
        <w:tc>
          <w:tcPr>
            <w:tcW w:type="dxa" w:w="7160"/>
            <w:tcBorders>
              <w:top w:val="single" w:color="AED6F1" w:sz="1"/>
              <w:left w:val="single" w:color="AED6F1" w:sz="1"/>
              <w:bottom w:val="single" w:color="AED6F1" w:sz="1"/>
              <w:right w:val="single" w:color="AED6F1" w:sz="1"/>
            </w:tcBorders>
            <w:shd w:fill="FCE4EC" w:val="clear"/>
            <w:tcMar>
              <w:top w:type="dxa" w:w="80"/>
              <w:left w:type="dxa" w:w="120"/>
              <w:bottom w:type="dxa" w:w="80"/>
              <w:right w:type="dxa" w:w="120"/>
            </w:tcMar>
          </w:tcPr>
          <w:p>
            <w:r>
              <w:rPr>
                <w:rFonts w:ascii="Arial" w:cs="Arial" w:eastAsia="Arial" w:hAnsi="Arial"/>
                <w:color w:val="1C2833"/>
                <w:sz w:val="20"/>
                <w:szCs w:val="20"/>
              </w:rPr>
              <w:t xml:space="preserve">Stage I: ~98% | Stage IV: ~15-25%</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AI Detection</w:t>
            </w:r>
          </w:p>
        </w:tc>
        <w:tc>
          <w:tcPr>
            <w:tcW w:type="dxa" w:w="7160"/>
            <w:tcBorders>
              <w:top w:val="single" w:color="AED6F1" w:sz="1"/>
              <w:left w:val="single" w:color="AED6F1" w:sz="1"/>
              <w:bottom w:val="single" w:color="AED6F1" w:sz="1"/>
              <w:right w:val="single" w:color="AED6F1" w:sz="1"/>
            </w:tcBorders>
            <w:shd w:fill="FCE4EC" w:val="clear"/>
            <w:tcMar>
              <w:top w:type="dxa" w:w="80"/>
              <w:left w:type="dxa" w:w="120"/>
              <w:bottom w:type="dxa" w:w="80"/>
              <w:right w:type="dxa" w:w="120"/>
            </w:tcMar>
          </w:tcPr>
          <w:p>
            <w:r>
              <w:rPr>
                <w:rFonts w:ascii="Arial" w:cs="Arial" w:eastAsia="Arial" w:hAnsi="Arial"/>
                <w:color w:val="1C2833"/>
                <w:sz w:val="20"/>
                <w:szCs w:val="20"/>
              </w:rPr>
              <w:t xml:space="preserve">CNN + ABCD rule features, dermoscopy classification</w:t>
            </w:r>
          </w:p>
        </w:tc>
      </w:tr>
    </w:tbl>
    <w:p>
      <w:pPr>
        <w:spacing w:after="100" w:before="220"/>
      </w:pPr>
      <w:r>
        <w:rPr>
          <w:rFonts w:ascii="Arial" w:cs="Arial" w:eastAsia="Arial" w:hAnsi="Arial"/>
          <w:b/>
          <w:bCs/>
          <w:color w:val="B71C1C"/>
          <w:sz w:val="24"/>
          <w:szCs w:val="24"/>
        </w:rPr>
        <w:t xml:space="preserve">PATHOPHYSIOLOGY</w:t>
      </w:r>
    </w:p>
    <w:p>
      <w:pPr>
        <w:spacing w:after="80" w:before="80" w:line="300"/>
      </w:pPr>
      <w:r>
        <w:rPr>
          <w:rFonts w:ascii="Arial" w:cs="Arial" w:eastAsia="Arial" w:hAnsi="Arial"/>
          <w:color w:val="1C2833"/>
          <w:sz w:val="22"/>
          <w:szCs w:val="22"/>
        </w:rPr>
        <w:t xml:space="preserve">Melanoma arises from mutations in melanocytes, typically triggered by ultraviolet (UV) radiation from the sun or tanning beds. Key driver mutations include BRAF (V600E) — present in ~50% of melanomas — and NRAS and NF1 mutations. These mutations disrupt normal cell cycle regulation, causing uncontrolled proliferation. Melanoma can develop in existing moles or appear as new pigmented lesions. It has a high tendency for lymphatic and hematogenous spread.</w:t>
      </w:r>
    </w:p>
    <w:p>
      <w:pPr>
        <w:spacing w:after="100" w:before="220"/>
      </w:pPr>
      <w:r>
        <w:rPr>
          <w:rFonts w:ascii="Arial" w:cs="Arial" w:eastAsia="Arial" w:hAnsi="Arial"/>
          <w:b/>
          <w:bCs/>
          <w:color w:val="B71C1C"/>
          <w:sz w:val="24"/>
          <w:szCs w:val="24"/>
        </w:rPr>
        <w:t xml:space="preserve">ABCDE CLINICAL CRITERIA</w:t>
      </w:r>
    </w:p>
    <w:p>
      <w:pPr>
        <w:pStyle w:val="ListParagraph"/>
        <w:numPr>
          <w:ilvl w:val="0"/>
          <w:numId w:val="2"/>
        </w:numPr>
        <w:spacing w:after="60" w:before="60"/>
      </w:pPr>
      <w:r>
        <w:rPr>
          <w:rFonts w:ascii="Arial" w:cs="Arial" w:eastAsia="Arial" w:hAnsi="Arial"/>
          <w:b w:val="false"/>
          <w:bCs w:val="false"/>
          <w:color w:val="1C2833"/>
          <w:sz w:val="22"/>
          <w:szCs w:val="22"/>
        </w:rPr>
        <w:t xml:space="preserve">A — Asymmetry: One half does not match the other</w:t>
      </w:r>
    </w:p>
    <w:p>
      <w:pPr>
        <w:pStyle w:val="ListParagraph"/>
        <w:numPr>
          <w:ilvl w:val="0"/>
          <w:numId w:val="2"/>
        </w:numPr>
        <w:spacing w:after="60" w:before="60"/>
      </w:pPr>
      <w:r>
        <w:rPr>
          <w:rFonts w:ascii="Arial" w:cs="Arial" w:eastAsia="Arial" w:hAnsi="Arial"/>
          <w:b w:val="false"/>
          <w:bCs w:val="false"/>
          <w:color w:val="1C2833"/>
          <w:sz w:val="22"/>
          <w:szCs w:val="22"/>
        </w:rPr>
        <w:t xml:space="preserve">B — Border: Irregular, ragged, notched, or blurred edges</w:t>
      </w:r>
    </w:p>
    <w:p>
      <w:pPr>
        <w:pStyle w:val="ListParagraph"/>
        <w:numPr>
          <w:ilvl w:val="0"/>
          <w:numId w:val="2"/>
        </w:numPr>
        <w:spacing w:after="60" w:before="60"/>
      </w:pPr>
      <w:r>
        <w:rPr>
          <w:rFonts w:ascii="Arial" w:cs="Arial" w:eastAsia="Arial" w:hAnsi="Arial"/>
          <w:b w:val="false"/>
          <w:bCs w:val="false"/>
          <w:color w:val="1C2833"/>
          <w:sz w:val="22"/>
          <w:szCs w:val="22"/>
        </w:rPr>
        <w:t xml:space="preserve">C — Color: Varied shades of brown, black, red, white, or blue</w:t>
      </w:r>
    </w:p>
    <w:p>
      <w:pPr>
        <w:pStyle w:val="ListParagraph"/>
        <w:numPr>
          <w:ilvl w:val="0"/>
          <w:numId w:val="2"/>
        </w:numPr>
        <w:spacing w:after="60" w:before="60"/>
      </w:pPr>
      <w:r>
        <w:rPr>
          <w:rFonts w:ascii="Arial" w:cs="Arial" w:eastAsia="Arial" w:hAnsi="Arial"/>
          <w:b w:val="false"/>
          <w:bCs w:val="false"/>
          <w:color w:val="1C2833"/>
          <w:sz w:val="22"/>
          <w:szCs w:val="22"/>
        </w:rPr>
        <w:t xml:space="preserve">D — Diameter: Larger than 6mm (about the size of a pencil eraser)</w:t>
      </w:r>
    </w:p>
    <w:p>
      <w:pPr>
        <w:pStyle w:val="ListParagraph"/>
        <w:numPr>
          <w:ilvl w:val="0"/>
          <w:numId w:val="2"/>
        </w:numPr>
        <w:spacing w:after="60" w:before="60"/>
      </w:pPr>
      <w:r>
        <w:rPr>
          <w:rFonts w:ascii="Arial" w:cs="Arial" w:eastAsia="Arial" w:hAnsi="Arial"/>
          <w:b w:val="false"/>
          <w:bCs w:val="false"/>
          <w:color w:val="1C2833"/>
          <w:sz w:val="22"/>
          <w:szCs w:val="22"/>
        </w:rPr>
        <w:t xml:space="preserve">E — Evolving: Any change in size, shape, color, or new symptoms</w:t>
      </w:r>
    </w:p>
    <w:p>
      <w:pPr>
        <w:spacing w:after="100" w:before="220"/>
      </w:pPr>
      <w:r>
        <w:rPr>
          <w:rFonts w:ascii="Arial" w:cs="Arial" w:eastAsia="Arial" w:hAnsi="Arial"/>
          <w:b/>
          <w:bCs/>
          <w:color w:val="B71C1C"/>
          <w:sz w:val="24"/>
          <w:szCs w:val="24"/>
        </w:rPr>
        <w:t xml:space="preserve">STAGING (TNM SYSTEM)</w:t>
      </w:r>
    </w:p>
    <w:p>
      <w:pPr>
        <w:pStyle w:val="ListParagraph"/>
        <w:numPr>
          <w:ilvl w:val="0"/>
          <w:numId w:val="2"/>
        </w:numPr>
        <w:spacing w:after="60" w:before="60"/>
      </w:pPr>
      <w:r>
        <w:rPr>
          <w:rFonts w:ascii="Arial" w:cs="Arial" w:eastAsia="Arial" w:hAnsi="Arial"/>
          <w:b w:val="false"/>
          <w:bCs w:val="false"/>
          <w:color w:val="1C2833"/>
          <w:sz w:val="22"/>
          <w:szCs w:val="22"/>
        </w:rPr>
        <w:t xml:space="preserve">Stage 0 (Melanoma in situ): Confined to epidermis — nearly 100% curable</w:t>
      </w:r>
    </w:p>
    <w:p>
      <w:pPr>
        <w:pStyle w:val="ListParagraph"/>
        <w:numPr>
          <w:ilvl w:val="0"/>
          <w:numId w:val="2"/>
        </w:numPr>
        <w:spacing w:after="60" w:before="60"/>
      </w:pPr>
      <w:r>
        <w:rPr>
          <w:rFonts w:ascii="Arial" w:cs="Arial" w:eastAsia="Arial" w:hAnsi="Arial"/>
          <w:b w:val="false"/>
          <w:bCs w:val="false"/>
          <w:color w:val="1C2833"/>
          <w:sz w:val="22"/>
          <w:szCs w:val="22"/>
        </w:rPr>
        <w:t xml:space="preserve">Stage I: Thin tumors (&lt;2mm) — high cure rate with surgical excision</w:t>
      </w:r>
    </w:p>
    <w:p>
      <w:pPr>
        <w:pStyle w:val="ListParagraph"/>
        <w:numPr>
          <w:ilvl w:val="0"/>
          <w:numId w:val="2"/>
        </w:numPr>
        <w:spacing w:after="60" w:before="60"/>
      </w:pPr>
      <w:r>
        <w:rPr>
          <w:rFonts w:ascii="Arial" w:cs="Arial" w:eastAsia="Arial" w:hAnsi="Arial"/>
          <w:b w:val="false"/>
          <w:bCs w:val="false"/>
          <w:color w:val="1C2833"/>
          <w:sz w:val="22"/>
          <w:szCs w:val="22"/>
        </w:rPr>
        <w:t xml:space="preserve">Stage II: Thicker tumors, possible ulceration — higher recurrence risk</w:t>
      </w:r>
    </w:p>
    <w:p>
      <w:pPr>
        <w:pStyle w:val="ListParagraph"/>
        <w:numPr>
          <w:ilvl w:val="0"/>
          <w:numId w:val="2"/>
        </w:numPr>
        <w:spacing w:after="60" w:before="60"/>
      </w:pPr>
      <w:r>
        <w:rPr>
          <w:rFonts w:ascii="Arial" w:cs="Arial" w:eastAsia="Arial" w:hAnsi="Arial"/>
          <w:b w:val="false"/>
          <w:bCs w:val="false"/>
          <w:color w:val="1C2833"/>
          <w:sz w:val="22"/>
          <w:szCs w:val="22"/>
        </w:rPr>
        <w:t xml:space="preserve">Stage III: Spread to nearby lymph nodes — immunotherapy/targeted therapy</w:t>
      </w:r>
    </w:p>
    <w:p>
      <w:pPr>
        <w:pStyle w:val="ListParagraph"/>
        <w:numPr>
          <w:ilvl w:val="0"/>
          <w:numId w:val="2"/>
        </w:numPr>
        <w:spacing w:after="60" w:before="60"/>
      </w:pPr>
      <w:r>
        <w:rPr>
          <w:rFonts w:ascii="Arial" w:cs="Arial" w:eastAsia="Arial" w:hAnsi="Arial"/>
          <w:b w:val="false"/>
          <w:bCs w:val="false"/>
          <w:color w:val="1C2833"/>
          <w:sz w:val="22"/>
          <w:szCs w:val="22"/>
        </w:rPr>
        <w:t xml:space="preserve">Stage IV: Distant metastasis to lungs, liver, brain — systemic treatment required</w:t>
      </w:r>
    </w:p>
    <w:p>
      <w:pPr>
        <w:spacing w:after="100" w:before="220"/>
      </w:pPr>
      <w:r>
        <w:rPr>
          <w:rFonts w:ascii="Arial" w:cs="Arial" w:eastAsia="Arial" w:hAnsi="Arial"/>
          <w:b/>
          <w:bCs/>
          <w:color w:val="B71C1C"/>
          <w:sz w:val="24"/>
          <w:szCs w:val="24"/>
        </w:rPr>
        <w:t xml:space="preserve">TREATMENT APPROACHES</w:t>
      </w:r>
    </w:p>
    <w:p>
      <w:pPr>
        <w:pStyle w:val="ListParagraph"/>
        <w:numPr>
          <w:ilvl w:val="0"/>
          <w:numId w:val="2"/>
        </w:numPr>
        <w:spacing w:after="60" w:before="60"/>
      </w:pPr>
      <w:r>
        <w:rPr>
          <w:rFonts w:ascii="Arial" w:cs="Arial" w:eastAsia="Arial" w:hAnsi="Arial"/>
          <w:b w:val="false"/>
          <w:bCs w:val="false"/>
          <w:color w:val="1C2833"/>
          <w:sz w:val="22"/>
          <w:szCs w:val="22"/>
        </w:rPr>
        <w:t xml:space="preserve">Surgical excision with wide margins — primary treatment for early stages</w:t>
      </w:r>
    </w:p>
    <w:p>
      <w:pPr>
        <w:pStyle w:val="ListParagraph"/>
        <w:numPr>
          <w:ilvl w:val="0"/>
          <w:numId w:val="2"/>
        </w:numPr>
        <w:spacing w:after="60" w:before="60"/>
      </w:pPr>
      <w:r>
        <w:rPr>
          <w:rFonts w:ascii="Arial" w:cs="Arial" w:eastAsia="Arial" w:hAnsi="Arial"/>
          <w:b w:val="false"/>
          <w:bCs w:val="false"/>
          <w:color w:val="1C2833"/>
          <w:sz w:val="22"/>
          <w:szCs w:val="22"/>
        </w:rPr>
        <w:t xml:space="preserve">Sentinel lymph node biopsy — checks for regional spread</w:t>
      </w:r>
    </w:p>
    <w:p>
      <w:pPr>
        <w:pStyle w:val="ListParagraph"/>
        <w:numPr>
          <w:ilvl w:val="0"/>
          <w:numId w:val="2"/>
        </w:numPr>
        <w:spacing w:after="60" w:before="60"/>
      </w:pPr>
      <w:r>
        <w:rPr>
          <w:rFonts w:ascii="Arial" w:cs="Arial" w:eastAsia="Arial" w:hAnsi="Arial"/>
          <w:b w:val="false"/>
          <w:bCs w:val="false"/>
          <w:color w:val="1C2833"/>
          <w:sz w:val="22"/>
          <w:szCs w:val="22"/>
        </w:rPr>
        <w:t xml:space="preserve">Targeted therapy: BRAF/MEK inhibitors (vemurafenib, dabrafenib) for BRAF-mutant melanoma</w:t>
      </w:r>
    </w:p>
    <w:p>
      <w:pPr>
        <w:pStyle w:val="ListParagraph"/>
        <w:numPr>
          <w:ilvl w:val="0"/>
          <w:numId w:val="2"/>
        </w:numPr>
        <w:spacing w:after="60" w:before="60"/>
      </w:pPr>
      <w:r>
        <w:rPr>
          <w:rFonts w:ascii="Arial" w:cs="Arial" w:eastAsia="Arial" w:hAnsi="Arial"/>
          <w:b w:val="false"/>
          <w:bCs w:val="false"/>
          <w:color w:val="1C2833"/>
          <w:sz w:val="22"/>
          <w:szCs w:val="22"/>
        </w:rPr>
        <w:t xml:space="preserve">Immunotherapy: PD-1 inhibitors (pembrolizumab, nivolumab) — improve long-term survival</w:t>
      </w:r>
    </w:p>
    <w:p>
      <w:pPr>
        <w:pStyle w:val="ListParagraph"/>
        <w:numPr>
          <w:ilvl w:val="0"/>
          <w:numId w:val="2"/>
        </w:numPr>
        <w:spacing w:after="60" w:before="60"/>
      </w:pPr>
      <w:r>
        <w:rPr>
          <w:rFonts w:ascii="Arial" w:cs="Arial" w:eastAsia="Arial" w:hAnsi="Arial"/>
          <w:b w:val="false"/>
          <w:bCs w:val="false"/>
          <w:color w:val="1C2833"/>
          <w:sz w:val="22"/>
          <w:szCs w:val="22"/>
        </w:rPr>
        <w:t xml:space="preserve">Radiation therapy — used for brain metastases or adjuvant control</w:t>
      </w:r>
    </w:p>
    <w:p>
      <w:pPr>
        <w:spacing w:after="100" w:before="220"/>
      </w:pPr>
      <w:r>
        <w:rPr>
          <w:rFonts w:ascii="Arial" w:cs="Arial" w:eastAsia="Arial" w:hAnsi="Arial"/>
          <w:b/>
          <w:bCs/>
          <w:color w:val="B71C1C"/>
          <w:sz w:val="24"/>
          <w:szCs w:val="24"/>
        </w:rPr>
        <w:t xml:space="preserve">RELEVANCE TO SKIN-NET (AI MODEL)</w:t>
      </w:r>
    </w:p>
    <w:p>
      <w:pPr>
        <w:spacing w:after="80" w:before="80" w:line="300"/>
      </w:pPr>
      <w:r>
        <w:rPr>
          <w:rFonts w:ascii="Arial" w:cs="Arial" w:eastAsia="Arial" w:hAnsi="Arial"/>
          <w:color w:val="1C2833"/>
          <w:sz w:val="22"/>
          <w:szCs w:val="22"/>
        </w:rPr>
        <w:t xml:space="preserve">Melanoma is the most studied condition in dermatology AI. Your EfficientNetB3 model must distinguish melanoma from benign pigmented lesions such as seborrheic keratosis or dysplastic nevi. Key feature patterns include irregular pigment networks, atypical vascular structures, and regression zones visible in dermoscopy. The ISIC challenge datasets are the gold standard for this class. Grad-CAM on your model should highlight pigment network disruptions.</w:t>
      </w:r>
    </w:p>
    <w:p>
      <w:pPr>
        <w:spacing w:after="100" w:before="220"/>
      </w:pPr>
      <w:r>
        <w:rPr>
          <w:rFonts w:ascii="Arial" w:cs="Arial" w:eastAsia="Arial" w:hAnsi="Arial"/>
          <w:b/>
          <w:bCs/>
          <w:color w:val="B71C1C"/>
          <w:sz w:val="24"/>
          <w:szCs w:val="24"/>
        </w:rPr>
        <w:t xml:space="preserve">DATASETS &amp; RESOURCES FOR KNOWLEDGE BASE ENRICHMENT</w:t>
      </w:r>
    </w:p>
    <w:p>
      <w:pPr>
        <w:pStyle w:val="ListParagraph"/>
        <w:numPr>
          <w:ilvl w:val="0"/>
          <w:numId w:val="2"/>
        </w:numPr>
        <w:spacing w:after="60" w:before="60"/>
      </w:pPr>
      <w:hyperlink w:history="1" r:id="rIdqrxyte_ows-ormwoe6s-g">
        <w:r>
          <w:rPr>
            <w:rFonts w:ascii="Arial" w:cs="Arial" w:eastAsia="Arial" w:hAnsi="Arial"/>
            <w:color w:val="1155CC"/>
            <w:sz w:val="22"/>
            <w:szCs w:val="22"/>
            <w:u w:val="single"/>
          </w:rPr>
          <w:t xml:space="preserve">ISIC 2020 Challenge Dataset (33K images): https://www.kaggle.com/competitions/siim-isic-melanoma-classification</w:t>
        </w:r>
      </w:hyperlink>
    </w:p>
    <w:p>
      <w:pPr>
        <w:pStyle w:val="ListParagraph"/>
        <w:numPr>
          <w:ilvl w:val="0"/>
          <w:numId w:val="2"/>
        </w:numPr>
        <w:spacing w:after="60" w:before="60"/>
      </w:pPr>
      <w:hyperlink w:history="1" r:id="rId4dmakerqo0w-8febaksym">
        <w:r>
          <w:rPr>
            <w:rFonts w:ascii="Arial" w:cs="Arial" w:eastAsia="Arial" w:hAnsi="Arial"/>
            <w:color w:val="1155CC"/>
            <w:sz w:val="22"/>
            <w:szCs w:val="22"/>
            <w:u w:val="single"/>
          </w:rPr>
          <w:t xml:space="preserve">HAM10000 Dataset (10K dermoscopy images): https://www.kaggle.com/datasets/kmader/skin-lesion-analysis-toward-melanoma-detection</w:t>
        </w:r>
      </w:hyperlink>
    </w:p>
    <w:p>
      <w:pPr>
        <w:pStyle w:val="ListParagraph"/>
        <w:numPr>
          <w:ilvl w:val="0"/>
          <w:numId w:val="2"/>
        </w:numPr>
        <w:spacing w:after="60" w:before="60"/>
      </w:pPr>
      <w:hyperlink w:history="1" r:id="rIdzlzzzf8q6lcgmawjetdvb">
        <w:r>
          <w:rPr>
            <w:rFonts w:ascii="Arial" w:cs="Arial" w:eastAsia="Arial" w:hAnsi="Arial"/>
            <w:color w:val="1155CC"/>
            <w:sz w:val="22"/>
            <w:szCs w:val="22"/>
            <w:u w:val="single"/>
          </w:rPr>
          <w:t xml:space="preserve">MIDAS Multimodal Dataset (NEJM AI): https://ai.nejm.org/doi/full/10.1056/AIdbp2400732</w:t>
        </w:r>
      </w:hyperlink>
    </w:p>
    <w:p>
      <w:pPr>
        <w:pStyle w:val="ListParagraph"/>
        <w:numPr>
          <w:ilvl w:val="0"/>
          <w:numId w:val="2"/>
        </w:numPr>
        <w:spacing w:after="60" w:before="60"/>
      </w:pPr>
      <w:hyperlink w:history="1" r:id="rIdw7tmrt1ypliukkq0ezgxe">
        <w:r>
          <w:rPr>
            <w:rFonts w:ascii="Arial" w:cs="Arial" w:eastAsia="Arial" w:hAnsi="Arial"/>
            <w:color w:val="1155CC"/>
            <w:sz w:val="22"/>
            <w:szCs w:val="22"/>
            <w:u w:val="single"/>
          </w:rPr>
          <w:t xml:space="preserve">PH2 Dermoscopy Dataset: https://www.fc.up.pt/addi/ph2%20database.html</w:t>
        </w:r>
      </w:hyperlink>
    </w:p>
    <w:p>
      <w:pPr>
        <w:pStyle w:val="ListParagraph"/>
        <w:numPr>
          <w:ilvl w:val="0"/>
          <w:numId w:val="2"/>
        </w:numPr>
        <w:spacing w:after="60" w:before="60"/>
      </w:pPr>
      <w:hyperlink w:history="1" r:id="rIdh9xwpec0fssf6uk85hm5l">
        <w:r>
          <w:rPr>
            <w:rFonts w:ascii="Arial" w:cs="Arial" w:eastAsia="Arial" w:hAnsi="Arial"/>
            <w:color w:val="1155CC"/>
            <w:sz w:val="22"/>
            <w:szCs w:val="22"/>
            <w:u w:val="single"/>
          </w:rPr>
          <w:t xml:space="preserve">ISIC Archive (Official): https://www.isic-archive.com/</w:t>
        </w:r>
      </w:hyperlink>
    </w:p>
    <w:p>
      <w:pPr>
        <w:pBdr>
          <w:bottom w:val="single" w:color="2980B9" w:sz="6" w:space="1"/>
        </w:pBdr>
        <w:spacing w:after="120" w:before="120"/>
      </w:pPr>
    </w:p>
    <w:p>
      <w:r>
        <w:br w:type="page"/>
      </w:r>
    </w:p>
    <w:p>
      <w:pPr>
        <w:spacing w:after="160" w:before="320"/>
      </w:pPr>
      <w:r>
        <w:rPr>
          <w:rFonts w:ascii="Arial" w:cs="Arial" w:eastAsia="Arial" w:hAnsi="Arial"/>
          <w:b/>
          <w:bCs/>
          <w:color w:val="E65100"/>
          <w:sz w:val="38"/>
          <w:szCs w:val="38"/>
        </w:rPr>
        <w:t xml:space="preserve">DISEASE 3: SCALY LESIONS</w:t>
      </w:r>
    </w:p>
    <w:p>
      <w:pPr>
        <w:pBdr>
          <w:bottom w:val="single" w:color="2980B9" w:sz="6" w:space="1"/>
        </w:pBdr>
        <w:spacing w:after="120" w:before="120"/>
      </w:pPr>
    </w:p>
    <w:p>
      <w:pPr>
        <w:spacing w:after="120" w:before="160"/>
      </w:pPr>
      <w:r>
        <w:rPr>
          <w:rFonts w:ascii="Arial" w:cs="Arial" w:eastAsia="Arial" w:hAnsi="Arial"/>
          <w:b/>
          <w:bCs/>
          <w:color w:val="E65100"/>
          <w:sz w:val="24"/>
          <w:szCs w:val="24"/>
        </w:rPr>
        <w:t xml:space="preserve">OVERVIEW</w:t>
      </w:r>
    </w:p>
    <w:p>
      <w:pPr>
        <w:spacing w:after="80" w:before="80" w:line="300"/>
      </w:pPr>
      <w:r>
        <w:rPr>
          <w:rFonts w:ascii="Arial" w:cs="Arial" w:eastAsia="Arial" w:hAnsi="Arial"/>
          <w:color w:val="1C2833"/>
          <w:sz w:val="22"/>
          <w:szCs w:val="22"/>
        </w:rPr>
        <w:t xml:space="preserve">Scaly lesions encompass a group of chronic inflammatory skin diseases characterized by abnormal skin cell turnover leading to scaling, thickening, and flaking of the skin. The major conditions under this umbrella include Psoriasis (immune-mediated plaques), Eczema/Atopic Dermatitis (allergy-driven inflammation), Seborrheic Dermatitis (yeast-driven scalp/face scaling), and Tinea Versicolor (fungal). In your Skin-Net model, this class captures the shared visual feature of epidermal scaling regardless of the underlying mechanism.</w:t>
      </w:r>
    </w:p>
    <w:p>
      <w:pPr>
        <w:spacing w:after="100" w:before="200"/>
      </w:pPr>
      <w:r>
        <w:rPr>
          <w:rFonts w:ascii="Arial" w:cs="Arial" w:eastAsia="Arial" w:hAnsi="Arial"/>
          <w:b/>
          <w:bCs/>
          <w:color w:val="E65100"/>
          <w:sz w:val="24"/>
          <w:szCs w:val="24"/>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Type</w:t>
            </w:r>
          </w:p>
        </w:tc>
        <w:tc>
          <w:tcPr>
            <w:tcW w:type="dxa" w:w="7160"/>
            <w:tcBorders>
              <w:top w:val="single" w:color="AED6F1" w:sz="1"/>
              <w:left w:val="single" w:color="AED6F1" w:sz="1"/>
              <w:bottom w:val="single" w:color="AED6F1" w:sz="1"/>
              <w:right w:val="single" w:color="AED6F1" w:sz="1"/>
            </w:tcBorders>
            <w:shd w:fill="FFF3E0" w:val="clear"/>
            <w:tcMar>
              <w:top w:type="dxa" w:w="80"/>
              <w:left w:type="dxa" w:w="120"/>
              <w:bottom w:type="dxa" w:w="80"/>
              <w:right w:type="dxa" w:w="120"/>
            </w:tcMar>
          </w:tcPr>
          <w:p>
            <w:r>
              <w:rPr>
                <w:rFonts w:ascii="Arial" w:cs="Arial" w:eastAsia="Arial" w:hAnsi="Arial"/>
                <w:color w:val="1C2833"/>
                <w:sz w:val="20"/>
                <w:szCs w:val="20"/>
              </w:rPr>
              <w:t xml:space="preserve">Chronic inflammatory / hyperproliferative skin diseases</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Prevalence</w:t>
            </w:r>
          </w:p>
        </w:tc>
        <w:tc>
          <w:tcPr>
            <w:tcW w:type="dxa" w:w="7160"/>
            <w:tcBorders>
              <w:top w:val="single" w:color="AED6F1" w:sz="1"/>
              <w:left w:val="single" w:color="AED6F1" w:sz="1"/>
              <w:bottom w:val="single" w:color="AED6F1" w:sz="1"/>
              <w:right w:val="single" w:color="AED6F1" w:sz="1"/>
            </w:tcBorders>
            <w:shd w:fill="FFF3E0" w:val="clear"/>
            <w:tcMar>
              <w:top w:type="dxa" w:w="80"/>
              <w:left w:type="dxa" w:w="120"/>
              <w:bottom w:type="dxa" w:w="80"/>
              <w:right w:type="dxa" w:w="120"/>
            </w:tcMar>
          </w:tcPr>
          <w:p>
            <w:r>
              <w:rPr>
                <w:rFonts w:ascii="Arial" w:cs="Arial" w:eastAsia="Arial" w:hAnsi="Arial"/>
                <w:color w:val="1C2833"/>
                <w:sz w:val="20"/>
                <w:szCs w:val="20"/>
              </w:rPr>
              <w:t xml:space="preserve">Psoriasis ~2-3% globally; Eczema ~15-20% of children</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Primary Cause</w:t>
            </w:r>
          </w:p>
        </w:tc>
        <w:tc>
          <w:tcPr>
            <w:tcW w:type="dxa" w:w="7160"/>
            <w:tcBorders>
              <w:top w:val="single" w:color="AED6F1" w:sz="1"/>
              <w:left w:val="single" w:color="AED6F1" w:sz="1"/>
              <w:bottom w:val="single" w:color="AED6F1" w:sz="1"/>
              <w:right w:val="single" w:color="AED6F1" w:sz="1"/>
            </w:tcBorders>
            <w:shd w:fill="FFF3E0" w:val="clear"/>
            <w:tcMar>
              <w:top w:type="dxa" w:w="80"/>
              <w:left w:type="dxa" w:w="120"/>
              <w:bottom w:type="dxa" w:w="80"/>
              <w:right w:type="dxa" w:w="120"/>
            </w:tcMar>
          </w:tcPr>
          <w:p>
            <w:r>
              <w:rPr>
                <w:rFonts w:ascii="Arial" w:cs="Arial" w:eastAsia="Arial" w:hAnsi="Arial"/>
                <w:color w:val="1C2833"/>
                <w:sz w:val="20"/>
                <w:szCs w:val="20"/>
              </w:rPr>
              <w:t xml:space="preserve">Immune dysregulation, genetic predisposition, triggers</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Common Sites</w:t>
            </w:r>
          </w:p>
        </w:tc>
        <w:tc>
          <w:tcPr>
            <w:tcW w:type="dxa" w:w="7160"/>
            <w:tcBorders>
              <w:top w:val="single" w:color="AED6F1" w:sz="1"/>
              <w:left w:val="single" w:color="AED6F1" w:sz="1"/>
              <w:bottom w:val="single" w:color="AED6F1" w:sz="1"/>
              <w:right w:val="single" w:color="AED6F1" w:sz="1"/>
            </w:tcBorders>
            <w:shd w:fill="FFF3E0" w:val="clear"/>
            <w:tcMar>
              <w:top w:type="dxa" w:w="80"/>
              <w:left w:type="dxa" w:w="120"/>
              <w:bottom w:type="dxa" w:w="80"/>
              <w:right w:type="dxa" w:w="120"/>
            </w:tcMar>
          </w:tcPr>
          <w:p>
            <w:r>
              <w:rPr>
                <w:rFonts w:ascii="Arial" w:cs="Arial" w:eastAsia="Arial" w:hAnsi="Arial"/>
                <w:color w:val="1C2833"/>
                <w:sz w:val="20"/>
                <w:szCs w:val="20"/>
              </w:rPr>
              <w:t xml:space="preserve">Scalp, elbows, knees, face (varies by condition)</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AI Detection</w:t>
            </w:r>
          </w:p>
        </w:tc>
        <w:tc>
          <w:tcPr>
            <w:tcW w:type="dxa" w:w="7160"/>
            <w:tcBorders>
              <w:top w:val="single" w:color="AED6F1" w:sz="1"/>
              <w:left w:val="single" w:color="AED6F1" w:sz="1"/>
              <w:bottom w:val="single" w:color="AED6F1" w:sz="1"/>
              <w:right w:val="single" w:color="AED6F1" w:sz="1"/>
            </w:tcBorders>
            <w:shd w:fill="FFF3E0" w:val="clear"/>
            <w:tcMar>
              <w:top w:type="dxa" w:w="80"/>
              <w:left w:type="dxa" w:w="120"/>
              <w:bottom w:type="dxa" w:w="80"/>
              <w:right w:type="dxa" w:w="120"/>
            </w:tcMar>
          </w:tcPr>
          <w:p>
            <w:r>
              <w:rPr>
                <w:rFonts w:ascii="Arial" w:cs="Arial" w:eastAsia="Arial" w:hAnsi="Arial"/>
                <w:color w:val="1C2833"/>
                <w:sz w:val="20"/>
                <w:szCs w:val="20"/>
              </w:rPr>
              <w:t xml:space="preserve">Plaque texture, scale pattern, distribution features</w:t>
            </w:r>
          </w:p>
        </w:tc>
      </w:tr>
    </w:tbl>
    <w:p>
      <w:pPr>
        <w:spacing w:after="100" w:before="220"/>
      </w:pPr>
      <w:r>
        <w:rPr>
          <w:rFonts w:ascii="Arial" w:cs="Arial" w:eastAsia="Arial" w:hAnsi="Arial"/>
          <w:b/>
          <w:bCs/>
          <w:color w:val="E65100"/>
          <w:sz w:val="24"/>
          <w:szCs w:val="24"/>
        </w:rPr>
        <w:t xml:space="preserve">PSORIASIS — DETAILED OVERVIEW</w:t>
      </w:r>
    </w:p>
    <w:p>
      <w:pPr>
        <w:spacing w:after="80" w:before="80" w:line="300"/>
      </w:pPr>
      <w:r>
        <w:rPr>
          <w:rFonts w:ascii="Arial" w:cs="Arial" w:eastAsia="Arial" w:hAnsi="Arial"/>
          <w:color w:val="1C2833"/>
          <w:sz w:val="22"/>
          <w:szCs w:val="22"/>
        </w:rPr>
        <w:t xml:space="preserve">Psoriasis is an autoimmune condition where T-cell activation causes keratinocytes to proliferate 6-10x faster than normal (turnover in 3-5 days vs. 28-30 days). This results in the classic silvery-white plaques on erythematous (red) bases. The IL-17 and IL-23 cytokine pathways are central to its pathogenesis. Psoriasis is lifelong and episodic — flares can be triggered by stress, infections, medications (beta-blockers, lithium), or alcohol.</w:t>
      </w:r>
    </w:p>
    <w:p>
      <w:pPr>
        <w:spacing w:after="100" w:before="220"/>
      </w:pPr>
      <w:r>
        <w:rPr>
          <w:rFonts w:ascii="Arial" w:cs="Arial" w:eastAsia="Arial" w:hAnsi="Arial"/>
          <w:b/>
          <w:bCs/>
          <w:color w:val="E65100"/>
          <w:sz w:val="24"/>
          <w:szCs w:val="24"/>
        </w:rPr>
        <w:t xml:space="preserve">ECZEMA (ATOPIC DERMATITIS) — DETAILED OVERVIEW</w:t>
      </w:r>
    </w:p>
    <w:p>
      <w:pPr>
        <w:spacing w:after="80" w:before="80" w:line="300"/>
      </w:pPr>
      <w:r>
        <w:rPr>
          <w:rFonts w:ascii="Arial" w:cs="Arial" w:eastAsia="Arial" w:hAnsi="Arial"/>
          <w:color w:val="1C2833"/>
          <w:sz w:val="22"/>
          <w:szCs w:val="22"/>
        </w:rPr>
        <w:t xml:space="preserve">Atopic dermatitis results from a defective skin barrier (often due to filaggrin gene mutations) combined with a Th2-skewed immune response. This allows allergens and irritants to penetrate, triggering an IgE-mediated and cytokine-driven inflammatory cascade. The hallmark is intensely pruritic (itchy), dry, weeping skin. It commonly appears in skin folds (antecubital, popliteal). It is part of the 'atopic triad' with asthma and allergic rhinitis.</w:t>
      </w:r>
    </w:p>
    <w:p>
      <w:pPr>
        <w:spacing w:after="100" w:before="220"/>
      </w:pPr>
      <w:r>
        <w:rPr>
          <w:rFonts w:ascii="Arial" w:cs="Arial" w:eastAsia="Arial" w:hAnsi="Arial"/>
          <w:b/>
          <w:bCs/>
          <w:color w:val="E65100"/>
          <w:sz w:val="24"/>
          <w:szCs w:val="24"/>
        </w:rPr>
        <w:t xml:space="preserve">KEY DISTINGUISHING VISUAL FEATURES</w:t>
      </w:r>
    </w:p>
    <w:p>
      <w:pPr>
        <w:pStyle w:val="ListParagraph"/>
        <w:numPr>
          <w:ilvl w:val="0"/>
          <w:numId w:val="2"/>
        </w:numPr>
        <w:spacing w:after="60" w:before="60"/>
      </w:pPr>
      <w:r>
        <w:rPr>
          <w:rFonts w:ascii="Arial" w:cs="Arial" w:eastAsia="Arial" w:hAnsi="Arial"/>
          <w:b w:val="false"/>
          <w:bCs w:val="false"/>
          <w:color w:val="1C2833"/>
          <w:sz w:val="22"/>
          <w:szCs w:val="22"/>
        </w:rPr>
        <w:t xml:space="preserve">Psoriasis: Well-defined silvery-white scales on erythematous plaques; predilection for extensor surfaces</w:t>
      </w:r>
    </w:p>
    <w:p>
      <w:pPr>
        <w:pStyle w:val="ListParagraph"/>
        <w:numPr>
          <w:ilvl w:val="0"/>
          <w:numId w:val="2"/>
        </w:numPr>
        <w:spacing w:after="60" w:before="60"/>
      </w:pPr>
      <w:r>
        <w:rPr>
          <w:rFonts w:ascii="Arial" w:cs="Arial" w:eastAsia="Arial" w:hAnsi="Arial"/>
          <w:b w:val="false"/>
          <w:bCs w:val="false"/>
          <w:color w:val="1C2833"/>
          <w:sz w:val="22"/>
          <w:szCs w:val="22"/>
        </w:rPr>
        <w:t xml:space="preserve">Eczema: Ill-defined, weeping, crusted lesions; flexural distribution; xerosis (dry skin)</w:t>
      </w:r>
    </w:p>
    <w:p>
      <w:pPr>
        <w:pStyle w:val="ListParagraph"/>
        <w:numPr>
          <w:ilvl w:val="0"/>
          <w:numId w:val="2"/>
        </w:numPr>
        <w:spacing w:after="60" w:before="60"/>
      </w:pPr>
      <w:r>
        <w:rPr>
          <w:rFonts w:ascii="Arial" w:cs="Arial" w:eastAsia="Arial" w:hAnsi="Arial"/>
          <w:b w:val="false"/>
          <w:bCs w:val="false"/>
          <w:color w:val="1C2833"/>
          <w:sz w:val="22"/>
          <w:szCs w:val="22"/>
        </w:rPr>
        <w:t xml:space="preserve">Seborrheic Dermatitis: Greasy yellowish scales on oily areas — scalp, T-zone of face, chest</w:t>
      </w:r>
    </w:p>
    <w:p>
      <w:pPr>
        <w:pStyle w:val="ListParagraph"/>
        <w:numPr>
          <w:ilvl w:val="0"/>
          <w:numId w:val="2"/>
        </w:numPr>
        <w:spacing w:after="60" w:before="60"/>
      </w:pPr>
      <w:r>
        <w:rPr>
          <w:rFonts w:ascii="Arial" w:cs="Arial" w:eastAsia="Arial" w:hAnsi="Arial"/>
          <w:b w:val="false"/>
          <w:bCs w:val="false"/>
          <w:color w:val="1C2833"/>
          <w:sz w:val="22"/>
          <w:szCs w:val="22"/>
        </w:rPr>
        <w:t xml:space="preserve">Tinea Versicolor: Hypo/hyperpigmented scaly patches on trunk — fungal origin</w:t>
      </w:r>
    </w:p>
    <w:p>
      <w:pPr>
        <w:pStyle w:val="ListParagraph"/>
        <w:numPr>
          <w:ilvl w:val="0"/>
          <w:numId w:val="2"/>
        </w:numPr>
        <w:spacing w:after="60" w:before="60"/>
      </w:pPr>
      <w:r>
        <w:rPr>
          <w:rFonts w:ascii="Arial" w:cs="Arial" w:eastAsia="Arial" w:hAnsi="Arial"/>
          <w:b w:val="false"/>
          <w:bCs w:val="false"/>
          <w:color w:val="1C2833"/>
          <w:sz w:val="22"/>
          <w:szCs w:val="22"/>
        </w:rPr>
        <w:t xml:space="preserve">Scale color is a key ML feature: silvery vs. yellowish vs. white/flaky</w:t>
      </w:r>
    </w:p>
    <w:p>
      <w:pPr>
        <w:spacing w:after="100" w:before="220"/>
      </w:pPr>
      <w:r>
        <w:rPr>
          <w:rFonts w:ascii="Arial" w:cs="Arial" w:eastAsia="Arial" w:hAnsi="Arial"/>
          <w:b/>
          <w:bCs/>
          <w:color w:val="E65100"/>
          <w:sz w:val="24"/>
          <w:szCs w:val="24"/>
        </w:rPr>
        <w:t xml:space="preserve">TREATMENT APPROACHES</w:t>
      </w:r>
    </w:p>
    <w:p>
      <w:pPr>
        <w:pStyle w:val="ListParagraph"/>
        <w:numPr>
          <w:ilvl w:val="0"/>
          <w:numId w:val="2"/>
        </w:numPr>
        <w:spacing w:after="60" w:before="60"/>
      </w:pPr>
      <w:r>
        <w:rPr>
          <w:rFonts w:ascii="Arial" w:cs="Arial" w:eastAsia="Arial" w:hAnsi="Arial"/>
          <w:b w:val="false"/>
          <w:bCs w:val="false"/>
          <w:color w:val="1C2833"/>
          <w:sz w:val="22"/>
          <w:szCs w:val="22"/>
        </w:rPr>
        <w:t xml:space="preserve">Topical corticosteroids — mainstay for psoriasis and eczema flares</w:t>
      </w:r>
    </w:p>
    <w:p>
      <w:pPr>
        <w:pStyle w:val="ListParagraph"/>
        <w:numPr>
          <w:ilvl w:val="0"/>
          <w:numId w:val="2"/>
        </w:numPr>
        <w:spacing w:after="60" w:before="60"/>
      </w:pPr>
      <w:r>
        <w:rPr>
          <w:rFonts w:ascii="Arial" w:cs="Arial" w:eastAsia="Arial" w:hAnsi="Arial"/>
          <w:b w:val="false"/>
          <w:bCs w:val="false"/>
          <w:color w:val="1C2833"/>
          <w:sz w:val="22"/>
          <w:szCs w:val="22"/>
        </w:rPr>
        <w:t xml:space="preserve">Vitamin D analogues (calcipotriol) — slow keratinocyte proliferation in psoriasis</w:t>
      </w:r>
    </w:p>
    <w:p>
      <w:pPr>
        <w:pStyle w:val="ListParagraph"/>
        <w:numPr>
          <w:ilvl w:val="0"/>
          <w:numId w:val="2"/>
        </w:numPr>
        <w:spacing w:after="60" w:before="60"/>
      </w:pPr>
      <w:r>
        <w:rPr>
          <w:rFonts w:ascii="Arial" w:cs="Arial" w:eastAsia="Arial" w:hAnsi="Arial"/>
          <w:b w:val="false"/>
          <w:bCs w:val="false"/>
          <w:color w:val="1C2833"/>
          <w:sz w:val="22"/>
          <w:szCs w:val="22"/>
        </w:rPr>
        <w:t xml:space="preserve">Calcineurin inhibitors (tacrolimus) — non-steroidal option for sensitive areas</w:t>
      </w:r>
    </w:p>
    <w:p>
      <w:pPr>
        <w:pStyle w:val="ListParagraph"/>
        <w:numPr>
          <w:ilvl w:val="0"/>
          <w:numId w:val="2"/>
        </w:numPr>
        <w:spacing w:after="60" w:before="60"/>
      </w:pPr>
      <w:r>
        <w:rPr>
          <w:rFonts w:ascii="Arial" w:cs="Arial" w:eastAsia="Arial" w:hAnsi="Arial"/>
          <w:b w:val="false"/>
          <w:bCs w:val="false"/>
          <w:color w:val="1C2833"/>
          <w:sz w:val="22"/>
          <w:szCs w:val="22"/>
        </w:rPr>
        <w:t xml:space="preserve">Biologics (IL-17, IL-23, TNF-alpha inhibitors) — for moderate-severe psoriasis</w:t>
      </w:r>
    </w:p>
    <w:p>
      <w:pPr>
        <w:pStyle w:val="ListParagraph"/>
        <w:numPr>
          <w:ilvl w:val="0"/>
          <w:numId w:val="2"/>
        </w:numPr>
        <w:spacing w:after="60" w:before="60"/>
      </w:pPr>
      <w:r>
        <w:rPr>
          <w:rFonts w:ascii="Arial" w:cs="Arial" w:eastAsia="Arial" w:hAnsi="Arial"/>
          <w:b w:val="false"/>
          <w:bCs w:val="false"/>
          <w:color w:val="1C2833"/>
          <w:sz w:val="22"/>
          <w:szCs w:val="22"/>
        </w:rPr>
        <w:t xml:space="preserve">Dupilumab — IL-4/IL-13 inhibitor approved for moderate-severe atopic dermatitis</w:t>
      </w:r>
    </w:p>
    <w:p>
      <w:pPr>
        <w:pStyle w:val="ListParagraph"/>
        <w:numPr>
          <w:ilvl w:val="0"/>
          <w:numId w:val="2"/>
        </w:numPr>
        <w:spacing w:after="60" w:before="60"/>
      </w:pPr>
      <w:r>
        <w:rPr>
          <w:rFonts w:ascii="Arial" w:cs="Arial" w:eastAsia="Arial" w:hAnsi="Arial"/>
          <w:b w:val="false"/>
          <w:bCs w:val="false"/>
          <w:color w:val="1C2833"/>
          <w:sz w:val="22"/>
          <w:szCs w:val="22"/>
        </w:rPr>
        <w:t xml:space="preserve">Antifungal shampoos/creams (ketoconazole) — for seborrheic dermatitis</w:t>
      </w:r>
    </w:p>
    <w:p>
      <w:pPr>
        <w:spacing w:after="100" w:before="220"/>
      </w:pPr>
      <w:r>
        <w:rPr>
          <w:rFonts w:ascii="Arial" w:cs="Arial" w:eastAsia="Arial" w:hAnsi="Arial"/>
          <w:b/>
          <w:bCs/>
          <w:color w:val="E65100"/>
          <w:sz w:val="24"/>
          <w:szCs w:val="24"/>
        </w:rPr>
        <w:t xml:space="preserve">RELEVANCE TO SKIN-NET (AI MODEL)</w:t>
      </w:r>
    </w:p>
    <w:p>
      <w:pPr>
        <w:spacing w:after="80" w:before="80" w:line="300"/>
      </w:pPr>
      <w:r>
        <w:rPr>
          <w:rFonts w:ascii="Arial" w:cs="Arial" w:eastAsia="Arial" w:hAnsi="Arial"/>
          <w:color w:val="1C2833"/>
          <w:sz w:val="22"/>
          <w:szCs w:val="22"/>
        </w:rPr>
        <w:t xml:space="preserve">Scaly lesions are visually overlapping, making this one of the hardest classes in your model. Your EfficientNetB3 will need to learn texture gradients (scale thickness, distribution), color (erythema intensity), and lesion boundary characteristics to differentiate sub-types. Augmentation with varied lighting is critical since scale sheen can confuse the model. Consider adding a confidence threshold for this class given inter-class similarity.</w:t>
      </w:r>
    </w:p>
    <w:p>
      <w:pPr>
        <w:spacing w:after="100" w:before="220"/>
      </w:pPr>
      <w:r>
        <w:rPr>
          <w:rFonts w:ascii="Arial" w:cs="Arial" w:eastAsia="Arial" w:hAnsi="Arial"/>
          <w:b/>
          <w:bCs/>
          <w:color w:val="E65100"/>
          <w:sz w:val="24"/>
          <w:szCs w:val="24"/>
        </w:rPr>
        <w:t xml:space="preserve">DATASETS &amp; RESOURCES FOR KNOWLEDGE BASE ENRICHMENT</w:t>
      </w:r>
    </w:p>
    <w:p>
      <w:pPr>
        <w:pStyle w:val="ListParagraph"/>
        <w:numPr>
          <w:ilvl w:val="0"/>
          <w:numId w:val="2"/>
        </w:numPr>
        <w:spacing w:after="60" w:before="60"/>
      </w:pPr>
      <w:hyperlink w:history="1" r:id="rId1xfu4whs-e_phwuy2-bcz">
        <w:r>
          <w:rPr>
            <w:rFonts w:ascii="Arial" w:cs="Arial" w:eastAsia="Arial" w:hAnsi="Arial"/>
            <w:color w:val="1155CC"/>
            <w:sz w:val="22"/>
            <w:szCs w:val="22"/>
            <w:u w:val="single"/>
          </w:rPr>
          <w:t xml:space="preserve">DermNet Kaggle Dataset (includes psoriasis, eczema): https://www.kaggle.com/datasets/shubhamgoel27/dermnet</w:t>
        </w:r>
      </w:hyperlink>
    </w:p>
    <w:p>
      <w:pPr>
        <w:pStyle w:val="ListParagraph"/>
        <w:numPr>
          <w:ilvl w:val="0"/>
          <w:numId w:val="2"/>
        </w:numPr>
        <w:spacing w:after="60" w:before="60"/>
      </w:pPr>
      <w:hyperlink w:history="1" r:id="rIdmhs_cm52yxdzfolbt1dhe">
        <w:r>
          <w:rPr>
            <w:rFonts w:ascii="Arial" w:cs="Arial" w:eastAsia="Arial" w:hAnsi="Arial"/>
            <w:color w:val="1155CC"/>
            <w:sz w:val="22"/>
            <w:szCs w:val="22"/>
            <w:u w:val="single"/>
          </w:rPr>
          <w:t xml:space="preserve">HAM10000 (seborrheic keratosis subset): https://www.kaggle.com/datasets/kmader/skin-lesion-analysis-toward-melanoma-detection</w:t>
        </w:r>
      </w:hyperlink>
    </w:p>
    <w:p>
      <w:pPr>
        <w:pStyle w:val="ListParagraph"/>
        <w:numPr>
          <w:ilvl w:val="0"/>
          <w:numId w:val="2"/>
        </w:numPr>
        <w:spacing w:after="60" w:before="60"/>
      </w:pPr>
      <w:hyperlink w:history="1" r:id="rIduphebklihx_egyelr8nzx">
        <w:r>
          <w:rPr>
            <w:rFonts w:ascii="Arial" w:cs="Arial" w:eastAsia="Arial" w:hAnsi="Arial"/>
            <w:color w:val="1155CC"/>
            <w:sz w:val="22"/>
            <w:szCs w:val="22"/>
            <w:u w:val="single"/>
          </w:rPr>
          <w:t xml:space="preserve">Diverse Dermatology Images (Stanford DDI): https://ddi-dataset.github.io/</w:t>
        </w:r>
      </w:hyperlink>
    </w:p>
    <w:p>
      <w:pPr>
        <w:pStyle w:val="ListParagraph"/>
        <w:numPr>
          <w:ilvl w:val="0"/>
          <w:numId w:val="2"/>
        </w:numPr>
        <w:spacing w:after="60" w:before="60"/>
      </w:pPr>
      <w:hyperlink w:history="1" r:id="rIddi9wj80kzhu22h1x_xtjl">
        <w:r>
          <w:rPr>
            <w:rFonts w:ascii="Arial" w:cs="Arial" w:eastAsia="Arial" w:hAnsi="Arial"/>
            <w:color w:val="1155CC"/>
            <w:sz w:val="22"/>
            <w:szCs w:val="22"/>
            <w:u w:val="single"/>
          </w:rPr>
          <w:t xml:space="preserve">SCIN Dataset (Google Research, 10K+ images): https://github.com/google-research-datasets/scin</w:t>
        </w:r>
      </w:hyperlink>
    </w:p>
    <w:p>
      <w:pPr>
        <w:pStyle w:val="ListParagraph"/>
        <w:numPr>
          <w:ilvl w:val="0"/>
          <w:numId w:val="2"/>
        </w:numPr>
        <w:spacing w:after="60" w:before="60"/>
      </w:pPr>
      <w:hyperlink w:history="1" r:id="rIdh4uc5t5yflwjvs3g3usbh">
        <w:r>
          <w:rPr>
            <w:rFonts w:ascii="Arial" w:cs="Arial" w:eastAsia="Arial" w:hAnsi="Arial"/>
            <w:color w:val="1155CC"/>
            <w:sz w:val="22"/>
            <w:szCs w:val="22"/>
            <w:u w:val="single"/>
          </w:rPr>
          <w:t xml:space="preserve">DermNet NZ — Psoriasis Reference: https://dermnetnz.org/topics/psoriasis</w:t>
        </w:r>
      </w:hyperlink>
    </w:p>
    <w:p>
      <w:pPr>
        <w:pBdr>
          <w:bottom w:val="single" w:color="2980B9" w:sz="6" w:space="1"/>
        </w:pBdr>
        <w:spacing w:after="120" w:before="120"/>
      </w:pPr>
    </w:p>
    <w:p>
      <w:r>
        <w:br w:type="page"/>
      </w:r>
    </w:p>
    <w:p>
      <w:pPr>
        <w:spacing w:after="160" w:before="320"/>
      </w:pPr>
      <w:r>
        <w:rPr>
          <w:rFonts w:ascii="Arial" w:cs="Arial" w:eastAsia="Arial" w:hAnsi="Arial"/>
          <w:b/>
          <w:bCs/>
          <w:color w:val="1565C0"/>
          <w:sz w:val="38"/>
          <w:szCs w:val="38"/>
        </w:rPr>
        <w:t xml:space="preserve">DISEASE 4: VITILIGO &amp; PIGMENTATION DISORDERS</w:t>
      </w:r>
    </w:p>
    <w:p>
      <w:pPr>
        <w:pBdr>
          <w:bottom w:val="single" w:color="2980B9" w:sz="6" w:space="1"/>
        </w:pBdr>
        <w:spacing w:after="120" w:before="120"/>
      </w:pPr>
    </w:p>
    <w:p>
      <w:pPr>
        <w:spacing w:after="120" w:before="160"/>
      </w:pPr>
      <w:r>
        <w:rPr>
          <w:rFonts w:ascii="Arial" w:cs="Arial" w:eastAsia="Arial" w:hAnsi="Arial"/>
          <w:b/>
          <w:bCs/>
          <w:color w:val="1565C0"/>
          <w:sz w:val="24"/>
          <w:szCs w:val="24"/>
        </w:rPr>
        <w:t xml:space="preserve">OVERVIEW</w:t>
      </w:r>
    </w:p>
    <w:p>
      <w:pPr>
        <w:spacing w:after="80" w:before="80" w:line="300"/>
      </w:pPr>
      <w:r>
        <w:rPr>
          <w:rFonts w:ascii="Arial" w:cs="Arial" w:eastAsia="Arial" w:hAnsi="Arial"/>
          <w:color w:val="1C2833"/>
          <w:sz w:val="22"/>
          <w:szCs w:val="22"/>
        </w:rPr>
        <w:t xml:space="preserve">Vitiligo is a chronic autoimmune skin disorder characterized by progressive depigmentation — the loss of melanocytes in specific areas of skin, resulting in white patches. It affects approximately 0.5-2% of the global population regardless of ethnicity, though it is more visually prominent and psychologically impactful in individuals with darker skin tones. Your folder name 'Vitiligo_Pigmentation' suggests this class may also encompass hyperpigmentation and post-inflammatory pigmentation changes, which are important in the Indian demographic context.</w:t>
      </w:r>
    </w:p>
    <w:p>
      <w:pPr>
        <w:spacing w:after="100" w:before="200"/>
      </w:pPr>
      <w:r>
        <w:rPr>
          <w:rFonts w:ascii="Arial" w:cs="Arial" w:eastAsia="Arial" w:hAnsi="Arial"/>
          <w:b/>
          <w:bCs/>
          <w:color w:val="1565C0"/>
          <w:sz w:val="24"/>
          <w:szCs w:val="24"/>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Type</w:t>
            </w:r>
          </w:p>
        </w:tc>
        <w:tc>
          <w:tcPr>
            <w:tcW w:type="dxa" w:w="7160"/>
            <w:tcBorders>
              <w:top w:val="single" w:color="AED6F1" w:sz="1"/>
              <w:left w:val="single" w:color="AED6F1" w:sz="1"/>
              <w:bottom w:val="single" w:color="AED6F1" w:sz="1"/>
              <w:right w:val="single" w:color="AED6F1" w:sz="1"/>
            </w:tcBorders>
            <w:shd w:fill="E3F2FD" w:val="clear"/>
            <w:tcMar>
              <w:top w:type="dxa" w:w="80"/>
              <w:left w:type="dxa" w:w="120"/>
              <w:bottom w:type="dxa" w:w="80"/>
              <w:right w:type="dxa" w:w="120"/>
            </w:tcMar>
          </w:tcPr>
          <w:p>
            <w:r>
              <w:rPr>
                <w:rFonts w:ascii="Arial" w:cs="Arial" w:eastAsia="Arial" w:hAnsi="Arial"/>
                <w:color w:val="1C2833"/>
                <w:sz w:val="20"/>
                <w:szCs w:val="20"/>
              </w:rPr>
              <w:t xml:space="preserve">Autoimmune depigmentation disorder</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Prevalence</w:t>
            </w:r>
          </w:p>
        </w:tc>
        <w:tc>
          <w:tcPr>
            <w:tcW w:type="dxa" w:w="7160"/>
            <w:tcBorders>
              <w:top w:val="single" w:color="AED6F1" w:sz="1"/>
              <w:left w:val="single" w:color="AED6F1" w:sz="1"/>
              <w:bottom w:val="single" w:color="AED6F1" w:sz="1"/>
              <w:right w:val="single" w:color="AED6F1" w:sz="1"/>
            </w:tcBorders>
            <w:shd w:fill="E3F2FD" w:val="clear"/>
            <w:tcMar>
              <w:top w:type="dxa" w:w="80"/>
              <w:left w:type="dxa" w:w="120"/>
              <w:bottom w:type="dxa" w:w="80"/>
              <w:right w:type="dxa" w:w="120"/>
            </w:tcMar>
          </w:tcPr>
          <w:p>
            <w:r>
              <w:rPr>
                <w:rFonts w:ascii="Arial" w:cs="Arial" w:eastAsia="Arial" w:hAnsi="Arial"/>
                <w:color w:val="1C2833"/>
                <w:sz w:val="20"/>
                <w:szCs w:val="20"/>
              </w:rPr>
              <w:t xml:space="preserve">~0.5-2% globally; higher in India (~8.8 million cases)</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Primary Cause</w:t>
            </w:r>
          </w:p>
        </w:tc>
        <w:tc>
          <w:tcPr>
            <w:tcW w:type="dxa" w:w="7160"/>
            <w:tcBorders>
              <w:top w:val="single" w:color="AED6F1" w:sz="1"/>
              <w:left w:val="single" w:color="AED6F1" w:sz="1"/>
              <w:bottom w:val="single" w:color="AED6F1" w:sz="1"/>
              <w:right w:val="single" w:color="AED6F1" w:sz="1"/>
            </w:tcBorders>
            <w:shd w:fill="E3F2FD" w:val="clear"/>
            <w:tcMar>
              <w:top w:type="dxa" w:w="80"/>
              <w:left w:type="dxa" w:w="120"/>
              <w:bottom w:type="dxa" w:w="80"/>
              <w:right w:type="dxa" w:w="120"/>
            </w:tcMar>
          </w:tcPr>
          <w:p>
            <w:r>
              <w:rPr>
                <w:rFonts w:ascii="Arial" w:cs="Arial" w:eastAsia="Arial" w:hAnsi="Arial"/>
                <w:color w:val="1C2833"/>
                <w:sz w:val="20"/>
                <w:szCs w:val="20"/>
              </w:rPr>
              <w:t xml:space="preserve">Autoimmune destruction of melanocytes</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Common Sites</w:t>
            </w:r>
          </w:p>
        </w:tc>
        <w:tc>
          <w:tcPr>
            <w:tcW w:type="dxa" w:w="7160"/>
            <w:tcBorders>
              <w:top w:val="single" w:color="AED6F1" w:sz="1"/>
              <w:left w:val="single" w:color="AED6F1" w:sz="1"/>
              <w:bottom w:val="single" w:color="AED6F1" w:sz="1"/>
              <w:right w:val="single" w:color="AED6F1" w:sz="1"/>
            </w:tcBorders>
            <w:shd w:fill="E3F2FD" w:val="clear"/>
            <w:tcMar>
              <w:top w:type="dxa" w:w="80"/>
              <w:left w:type="dxa" w:w="120"/>
              <w:bottom w:type="dxa" w:w="80"/>
              <w:right w:type="dxa" w:w="120"/>
            </w:tcMar>
          </w:tcPr>
          <w:p>
            <w:r>
              <w:rPr>
                <w:rFonts w:ascii="Arial" w:cs="Arial" w:eastAsia="Arial" w:hAnsi="Arial"/>
                <w:color w:val="1C2833"/>
                <w:sz w:val="20"/>
                <w:szCs w:val="20"/>
              </w:rPr>
              <w:t xml:space="preserve">Hands, face, genitals, skin folds, areas of friction</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AI Detection</w:t>
            </w:r>
          </w:p>
        </w:tc>
        <w:tc>
          <w:tcPr>
            <w:tcW w:type="dxa" w:w="7160"/>
            <w:tcBorders>
              <w:top w:val="single" w:color="AED6F1" w:sz="1"/>
              <w:left w:val="single" w:color="AED6F1" w:sz="1"/>
              <w:bottom w:val="single" w:color="AED6F1" w:sz="1"/>
              <w:right w:val="single" w:color="AED6F1" w:sz="1"/>
            </w:tcBorders>
            <w:shd w:fill="E3F2FD" w:val="clear"/>
            <w:tcMar>
              <w:top w:type="dxa" w:w="80"/>
              <w:left w:type="dxa" w:w="120"/>
              <w:bottom w:type="dxa" w:w="80"/>
              <w:right w:type="dxa" w:w="120"/>
            </w:tcMar>
          </w:tcPr>
          <w:p>
            <w:r>
              <w:rPr>
                <w:rFonts w:ascii="Arial" w:cs="Arial" w:eastAsia="Arial" w:hAnsi="Arial"/>
                <w:color w:val="1C2833"/>
                <w:sz w:val="20"/>
                <w:szCs w:val="20"/>
              </w:rPr>
              <w:t xml:space="preserve">Segmentation of depigmented patches; contrast with surrounding skin</w:t>
            </w:r>
          </w:p>
        </w:tc>
      </w:tr>
    </w:tbl>
    <w:p>
      <w:pPr>
        <w:spacing w:after="100" w:before="220"/>
      </w:pPr>
      <w:r>
        <w:rPr>
          <w:rFonts w:ascii="Arial" w:cs="Arial" w:eastAsia="Arial" w:hAnsi="Arial"/>
          <w:b/>
          <w:bCs/>
          <w:color w:val="1565C0"/>
          <w:sz w:val="24"/>
          <w:szCs w:val="24"/>
        </w:rPr>
        <w:t xml:space="preserve">PATHOPHYSIOLOGY</w:t>
      </w:r>
    </w:p>
    <w:p>
      <w:pPr>
        <w:spacing w:after="80" w:before="80" w:line="300"/>
      </w:pPr>
      <w:r>
        <w:rPr>
          <w:rFonts w:ascii="Arial" w:cs="Arial" w:eastAsia="Arial" w:hAnsi="Arial"/>
          <w:color w:val="1C2833"/>
          <w:sz w:val="22"/>
          <w:szCs w:val="22"/>
        </w:rPr>
        <w:t xml:space="preserve">The leading theory is autoimmune — CD8+ T-cells, autoreactive to melanocyte antigens like MART-1 and gp100, attack and destroy melanocytes. This is supported by the strong association with other autoimmune conditions (thyroid disease, type 1 diabetes, alopecia areata). Genetic predisposition involves variants in HLA genes and immune regulation genes (PTPN22, FOXP1, NLRP1). Oxidative stress and intrinsic melanocyte fragility may serve as initiating factors before the autoimmune cascade begins.</w:t>
      </w:r>
    </w:p>
    <w:p>
      <w:pPr>
        <w:spacing w:after="100" w:before="220"/>
      </w:pPr>
      <w:r>
        <w:rPr>
          <w:rFonts w:ascii="Arial" w:cs="Arial" w:eastAsia="Arial" w:hAnsi="Arial"/>
          <w:b/>
          <w:bCs/>
          <w:color w:val="1565C0"/>
          <w:sz w:val="24"/>
          <w:szCs w:val="24"/>
        </w:rPr>
        <w:t xml:space="preserve">CLASSIFICATION OF VITILIGO</w:t>
      </w:r>
    </w:p>
    <w:p>
      <w:pPr>
        <w:pStyle w:val="ListParagraph"/>
        <w:numPr>
          <w:ilvl w:val="0"/>
          <w:numId w:val="2"/>
        </w:numPr>
        <w:spacing w:after="60" w:before="60"/>
      </w:pPr>
      <w:r>
        <w:rPr>
          <w:rFonts w:ascii="Arial" w:cs="Arial" w:eastAsia="Arial" w:hAnsi="Arial"/>
          <w:b w:val="false"/>
          <w:bCs w:val="false"/>
          <w:color w:val="1C2833"/>
          <w:sz w:val="22"/>
          <w:szCs w:val="22"/>
        </w:rPr>
        <w:t xml:space="preserve">Non-segmental (generalized): Most common — bilateral, symmetric patches; progressive course</w:t>
      </w:r>
    </w:p>
    <w:p>
      <w:pPr>
        <w:pStyle w:val="ListParagraph"/>
        <w:numPr>
          <w:ilvl w:val="0"/>
          <w:numId w:val="2"/>
        </w:numPr>
        <w:spacing w:after="60" w:before="60"/>
      </w:pPr>
      <w:r>
        <w:rPr>
          <w:rFonts w:ascii="Arial" w:cs="Arial" w:eastAsia="Arial" w:hAnsi="Arial"/>
          <w:b w:val="false"/>
          <w:bCs w:val="false"/>
          <w:color w:val="1C2833"/>
          <w:sz w:val="22"/>
          <w:szCs w:val="22"/>
        </w:rPr>
        <w:t xml:space="preserve">Segmental: Unilateral, dermatomal distribution; early onset, stable after initial spread</w:t>
      </w:r>
    </w:p>
    <w:p>
      <w:pPr>
        <w:pStyle w:val="ListParagraph"/>
        <w:numPr>
          <w:ilvl w:val="0"/>
          <w:numId w:val="2"/>
        </w:numPr>
        <w:spacing w:after="60" w:before="60"/>
      </w:pPr>
      <w:r>
        <w:rPr>
          <w:rFonts w:ascii="Arial" w:cs="Arial" w:eastAsia="Arial" w:hAnsi="Arial"/>
          <w:b w:val="false"/>
          <w:bCs w:val="false"/>
          <w:color w:val="1C2833"/>
          <w:sz w:val="22"/>
          <w:szCs w:val="22"/>
        </w:rPr>
        <w:t xml:space="preserve">Universal: &gt;80% body surface depigmented — rare, severe form</w:t>
      </w:r>
    </w:p>
    <w:p>
      <w:pPr>
        <w:pStyle w:val="ListParagraph"/>
        <w:numPr>
          <w:ilvl w:val="0"/>
          <w:numId w:val="2"/>
        </w:numPr>
        <w:spacing w:after="60" w:before="60"/>
      </w:pPr>
      <w:r>
        <w:rPr>
          <w:rFonts w:ascii="Arial" w:cs="Arial" w:eastAsia="Arial" w:hAnsi="Arial"/>
          <w:b w:val="false"/>
          <w:bCs w:val="false"/>
          <w:color w:val="1C2833"/>
          <w:sz w:val="22"/>
          <w:szCs w:val="22"/>
        </w:rPr>
        <w:t xml:space="preserve">Focal: Small isolated patches; may represent early generalized vitiligo</w:t>
      </w:r>
    </w:p>
    <w:p>
      <w:pPr>
        <w:pStyle w:val="ListParagraph"/>
        <w:numPr>
          <w:ilvl w:val="0"/>
          <w:numId w:val="2"/>
        </w:numPr>
        <w:spacing w:after="60" w:before="60"/>
      </w:pPr>
      <w:r>
        <w:rPr>
          <w:rFonts w:ascii="Arial" w:cs="Arial" w:eastAsia="Arial" w:hAnsi="Arial"/>
          <w:b w:val="false"/>
          <w:bCs w:val="false"/>
          <w:color w:val="1C2833"/>
          <w:sz w:val="22"/>
          <w:szCs w:val="22"/>
        </w:rPr>
        <w:t xml:space="preserve">Acrofacial: Affects face and extremities — common initial presentation</w:t>
      </w:r>
    </w:p>
    <w:p>
      <w:pPr>
        <w:spacing w:after="100" w:before="220"/>
      </w:pPr>
      <w:r>
        <w:rPr>
          <w:rFonts w:ascii="Arial" w:cs="Arial" w:eastAsia="Arial" w:hAnsi="Arial"/>
          <w:b/>
          <w:bCs/>
          <w:color w:val="1565C0"/>
          <w:sz w:val="24"/>
          <w:szCs w:val="24"/>
        </w:rPr>
        <w:t xml:space="preserve">PIGMENTATION DISORDERS — RELATED CONDITIONS</w:t>
      </w:r>
    </w:p>
    <w:p>
      <w:pPr>
        <w:pStyle w:val="ListParagraph"/>
        <w:numPr>
          <w:ilvl w:val="0"/>
          <w:numId w:val="2"/>
        </w:numPr>
        <w:spacing w:after="60" w:before="60"/>
      </w:pPr>
      <w:r>
        <w:rPr>
          <w:rFonts w:ascii="Arial" w:cs="Arial" w:eastAsia="Arial" w:hAnsi="Arial"/>
          <w:b w:val="false"/>
          <w:bCs w:val="false"/>
          <w:color w:val="1C2833"/>
          <w:sz w:val="22"/>
          <w:szCs w:val="22"/>
        </w:rPr>
        <w:t xml:space="preserve">Melasma: Hyperpigmented patches (brown/grey-brown) on face — hormonal/sun-induced</w:t>
      </w:r>
    </w:p>
    <w:p>
      <w:pPr>
        <w:pStyle w:val="ListParagraph"/>
        <w:numPr>
          <w:ilvl w:val="0"/>
          <w:numId w:val="2"/>
        </w:numPr>
        <w:spacing w:after="60" w:before="60"/>
      </w:pPr>
      <w:r>
        <w:rPr>
          <w:rFonts w:ascii="Arial" w:cs="Arial" w:eastAsia="Arial" w:hAnsi="Arial"/>
          <w:b w:val="false"/>
          <w:bCs w:val="false"/>
          <w:color w:val="1C2833"/>
          <w:sz w:val="22"/>
          <w:szCs w:val="22"/>
        </w:rPr>
        <w:t xml:space="preserve">Post-inflammatory hyperpigmentation (PIH): Dark marks after acne, eczema, or injury</w:t>
      </w:r>
    </w:p>
    <w:p>
      <w:pPr>
        <w:pStyle w:val="ListParagraph"/>
        <w:numPr>
          <w:ilvl w:val="0"/>
          <w:numId w:val="2"/>
        </w:numPr>
        <w:spacing w:after="60" w:before="60"/>
      </w:pPr>
      <w:r>
        <w:rPr>
          <w:rFonts w:ascii="Arial" w:cs="Arial" w:eastAsia="Arial" w:hAnsi="Arial"/>
          <w:b w:val="false"/>
          <w:bCs w:val="false"/>
          <w:color w:val="1C2833"/>
          <w:sz w:val="22"/>
          <w:szCs w:val="22"/>
        </w:rPr>
        <w:t xml:space="preserve">Albinism: Congenital absence of melanin production (OCA1-4 gene mutations)</w:t>
      </w:r>
    </w:p>
    <w:p>
      <w:pPr>
        <w:pStyle w:val="ListParagraph"/>
        <w:numPr>
          <w:ilvl w:val="0"/>
          <w:numId w:val="2"/>
        </w:numPr>
        <w:spacing w:after="60" w:before="60"/>
      </w:pPr>
      <w:r>
        <w:rPr>
          <w:rFonts w:ascii="Arial" w:cs="Arial" w:eastAsia="Arial" w:hAnsi="Arial"/>
          <w:b w:val="false"/>
          <w:bCs w:val="false"/>
          <w:color w:val="1C2833"/>
          <w:sz w:val="22"/>
          <w:szCs w:val="22"/>
        </w:rPr>
        <w:t xml:space="preserve">Tinea Versicolor: Yeast-induced peri-follicular hypo/hyperpigmentation on trunk</w:t>
      </w:r>
    </w:p>
    <w:p>
      <w:pPr>
        <w:pStyle w:val="ListParagraph"/>
        <w:numPr>
          <w:ilvl w:val="0"/>
          <w:numId w:val="2"/>
        </w:numPr>
        <w:spacing w:after="60" w:before="60"/>
      </w:pPr>
      <w:r>
        <w:rPr>
          <w:rFonts w:ascii="Arial" w:cs="Arial" w:eastAsia="Arial" w:hAnsi="Arial"/>
          <w:b w:val="false"/>
          <w:bCs w:val="false"/>
          <w:color w:val="1C2833"/>
          <w:sz w:val="22"/>
          <w:szCs w:val="22"/>
        </w:rPr>
        <w:t xml:space="preserve">Idiopathic guttate hypomelanosis: Small white spots; sun-damaged skin, aging</w:t>
      </w:r>
    </w:p>
    <w:p>
      <w:pPr>
        <w:spacing w:after="100" w:before="220"/>
      </w:pPr>
      <w:r>
        <w:rPr>
          <w:rFonts w:ascii="Arial" w:cs="Arial" w:eastAsia="Arial" w:hAnsi="Arial"/>
          <w:b/>
          <w:bCs/>
          <w:color w:val="1565C0"/>
          <w:sz w:val="24"/>
          <w:szCs w:val="24"/>
        </w:rPr>
        <w:t xml:space="preserve">TREATMENT APPROACHES</w:t>
      </w:r>
    </w:p>
    <w:p>
      <w:pPr>
        <w:pStyle w:val="ListParagraph"/>
        <w:numPr>
          <w:ilvl w:val="0"/>
          <w:numId w:val="2"/>
        </w:numPr>
        <w:spacing w:after="60" w:before="60"/>
      </w:pPr>
      <w:r>
        <w:rPr>
          <w:rFonts w:ascii="Arial" w:cs="Arial" w:eastAsia="Arial" w:hAnsi="Arial"/>
          <w:b w:val="false"/>
          <w:bCs w:val="false"/>
          <w:color w:val="1C2833"/>
          <w:sz w:val="22"/>
          <w:szCs w:val="22"/>
        </w:rPr>
        <w:t xml:space="preserve">Topical calcineurin inhibitors (tacrolimus, pimecrolimus) — stop immune attack</w:t>
      </w:r>
    </w:p>
    <w:p>
      <w:pPr>
        <w:pStyle w:val="ListParagraph"/>
        <w:numPr>
          <w:ilvl w:val="0"/>
          <w:numId w:val="2"/>
        </w:numPr>
        <w:spacing w:after="60" w:before="60"/>
      </w:pPr>
      <w:r>
        <w:rPr>
          <w:rFonts w:ascii="Arial" w:cs="Arial" w:eastAsia="Arial" w:hAnsi="Arial"/>
          <w:b w:val="false"/>
          <w:bCs w:val="false"/>
          <w:color w:val="1C2833"/>
          <w:sz w:val="22"/>
          <w:szCs w:val="22"/>
        </w:rPr>
        <w:t xml:space="preserve">Topical/systemic corticosteroids — stabilize disease in active phase</w:t>
      </w:r>
    </w:p>
    <w:p>
      <w:pPr>
        <w:pStyle w:val="ListParagraph"/>
        <w:numPr>
          <w:ilvl w:val="0"/>
          <w:numId w:val="2"/>
        </w:numPr>
        <w:spacing w:after="60" w:before="60"/>
      </w:pPr>
      <w:r>
        <w:rPr>
          <w:rFonts w:ascii="Arial" w:cs="Arial" w:eastAsia="Arial" w:hAnsi="Arial"/>
          <w:b w:val="false"/>
          <w:bCs w:val="false"/>
          <w:color w:val="1C2833"/>
          <w:sz w:val="22"/>
          <w:szCs w:val="22"/>
        </w:rPr>
        <w:t xml:space="preserve">Narrowband UVB (NB-UVB) phototherapy — stimulate remaining melanocyte stem cells</w:t>
      </w:r>
    </w:p>
    <w:p>
      <w:pPr>
        <w:pStyle w:val="ListParagraph"/>
        <w:numPr>
          <w:ilvl w:val="0"/>
          <w:numId w:val="2"/>
        </w:numPr>
        <w:spacing w:after="60" w:before="60"/>
      </w:pPr>
      <w:r>
        <w:rPr>
          <w:rFonts w:ascii="Arial" w:cs="Arial" w:eastAsia="Arial" w:hAnsi="Arial"/>
          <w:b w:val="false"/>
          <w:bCs w:val="false"/>
          <w:color w:val="1C2833"/>
          <w:sz w:val="22"/>
          <w:szCs w:val="22"/>
        </w:rPr>
        <w:t xml:space="preserve">Excimer laser (308nm) — targeted phototherapy for stable, focal disease</w:t>
      </w:r>
    </w:p>
    <w:p>
      <w:pPr>
        <w:pStyle w:val="ListParagraph"/>
        <w:numPr>
          <w:ilvl w:val="0"/>
          <w:numId w:val="2"/>
        </w:numPr>
        <w:spacing w:after="60" w:before="60"/>
      </w:pPr>
      <w:r>
        <w:rPr>
          <w:rFonts w:ascii="Arial" w:cs="Arial" w:eastAsia="Arial" w:hAnsi="Arial"/>
          <w:b w:val="false"/>
          <w:bCs w:val="false"/>
          <w:color w:val="1C2833"/>
          <w:sz w:val="22"/>
          <w:szCs w:val="22"/>
        </w:rPr>
        <w:t xml:space="preserve">Surgical repigmentation (punch grafting, split-thickness grafts) — for stable vitiligo</w:t>
      </w:r>
    </w:p>
    <w:p>
      <w:pPr>
        <w:pStyle w:val="ListParagraph"/>
        <w:numPr>
          <w:ilvl w:val="0"/>
          <w:numId w:val="2"/>
        </w:numPr>
        <w:spacing w:after="60" w:before="60"/>
      </w:pPr>
      <w:r>
        <w:rPr>
          <w:rFonts w:ascii="Arial" w:cs="Arial" w:eastAsia="Arial" w:hAnsi="Arial"/>
          <w:b w:val="false"/>
          <w:bCs w:val="false"/>
          <w:color w:val="1C2833"/>
          <w:sz w:val="22"/>
          <w:szCs w:val="22"/>
        </w:rPr>
        <w:t xml:space="preserve">JAK inhibitors (ruxolitinib cream — FDA approved 2022) — newest targeted therapy</w:t>
      </w:r>
    </w:p>
    <w:p>
      <w:pPr>
        <w:spacing w:after="100" w:before="220"/>
      </w:pPr>
      <w:r>
        <w:rPr>
          <w:rFonts w:ascii="Arial" w:cs="Arial" w:eastAsia="Arial" w:hAnsi="Arial"/>
          <w:b/>
          <w:bCs/>
          <w:color w:val="1565C0"/>
          <w:sz w:val="24"/>
          <w:szCs w:val="24"/>
        </w:rPr>
        <w:t xml:space="preserve">RELEVANCE TO SKIN-NET (AI MODEL)</w:t>
      </w:r>
    </w:p>
    <w:p>
      <w:pPr>
        <w:spacing w:after="80" w:before="80" w:line="300"/>
      </w:pPr>
      <w:r>
        <w:rPr>
          <w:rFonts w:ascii="Arial" w:cs="Arial" w:eastAsia="Arial" w:hAnsi="Arial"/>
          <w:color w:val="1C2833"/>
          <w:sz w:val="22"/>
          <w:szCs w:val="22"/>
        </w:rPr>
        <w:t xml:space="preserve">Vitiligo presents unique challenges for AI because the diagnostic feature is the absence of pigment, not the presence of a lesion. The model must learn high-contrast white-to-normal-skin boundaries. For Indian skin tones (Fitzpatrick IV-V), the contrast is high and detection is generally easier visually. However, distinguishing vitiligo from pityriasis alba, post-inflammatory hypopigmentation, or tinea versicolor requires learning context. Wood's lamp fluorescence (UV) dramatically enhances vitiligo visibility but won't be available in WhatsApp phone images — this is a real-world limitation to document in your capstone.</w:t>
      </w:r>
    </w:p>
    <w:p>
      <w:pPr>
        <w:spacing w:after="100" w:before="220"/>
      </w:pPr>
      <w:r>
        <w:rPr>
          <w:rFonts w:ascii="Arial" w:cs="Arial" w:eastAsia="Arial" w:hAnsi="Arial"/>
          <w:b/>
          <w:bCs/>
          <w:color w:val="1565C0"/>
          <w:sz w:val="24"/>
          <w:szCs w:val="24"/>
        </w:rPr>
        <w:t xml:space="preserve">DATASETS &amp; RESOURCES FOR KNOWLEDGE BASE ENRICHMENT</w:t>
      </w:r>
    </w:p>
    <w:p>
      <w:pPr>
        <w:pStyle w:val="ListParagraph"/>
        <w:numPr>
          <w:ilvl w:val="0"/>
          <w:numId w:val="2"/>
        </w:numPr>
        <w:spacing w:after="60" w:before="60"/>
      </w:pPr>
      <w:hyperlink w:history="1" r:id="rIdic5lb1ose63e1bhjufeai">
        <w:r>
          <w:rPr>
            <w:rFonts w:ascii="Arial" w:cs="Arial" w:eastAsia="Arial" w:hAnsi="Arial"/>
            <w:color w:val="1155CC"/>
            <w:sz w:val="22"/>
            <w:szCs w:val="22"/>
            <w:u w:val="single"/>
          </w:rPr>
          <w:t xml:space="preserve">PAD-UFES-20 Dataset (your existing dataset): https://data.mendeley.com/datasets/zr7vgbcyr2/1</w:t>
        </w:r>
      </w:hyperlink>
    </w:p>
    <w:p>
      <w:pPr>
        <w:pStyle w:val="ListParagraph"/>
        <w:numPr>
          <w:ilvl w:val="0"/>
          <w:numId w:val="2"/>
        </w:numPr>
        <w:spacing w:after="60" w:before="60"/>
      </w:pPr>
      <w:hyperlink w:history="1" r:id="rIdhwrwxvug1cjyzsnjegtfe">
        <w:r>
          <w:rPr>
            <w:rFonts w:ascii="Arial" w:cs="Arial" w:eastAsia="Arial" w:hAnsi="Arial"/>
            <w:color w:val="1155CC"/>
            <w:sz w:val="22"/>
            <w:szCs w:val="22"/>
            <w:u w:val="single"/>
          </w:rPr>
          <w:t xml:space="preserve">Fitzpatrick 17k (diverse skin tones): https://github.com/mattgroh/fitzpatrick17k</w:t>
        </w:r>
      </w:hyperlink>
    </w:p>
    <w:p>
      <w:pPr>
        <w:pStyle w:val="ListParagraph"/>
        <w:numPr>
          <w:ilvl w:val="0"/>
          <w:numId w:val="2"/>
        </w:numPr>
        <w:spacing w:after="60" w:before="60"/>
      </w:pPr>
      <w:hyperlink w:history="1" r:id="rIdf21qyw-2ieonzjtomfpny">
        <w:r>
          <w:rPr>
            <w:rFonts w:ascii="Arial" w:cs="Arial" w:eastAsia="Arial" w:hAnsi="Arial"/>
            <w:color w:val="1155CC"/>
            <w:sz w:val="22"/>
            <w:szCs w:val="22"/>
            <w:u w:val="single"/>
          </w:rPr>
          <w:t xml:space="preserve">DDI Dataset — Stanford (biopsy-confirmed): https://ddi-dataset.github.io/</w:t>
        </w:r>
      </w:hyperlink>
    </w:p>
    <w:p>
      <w:pPr>
        <w:pStyle w:val="ListParagraph"/>
        <w:numPr>
          <w:ilvl w:val="0"/>
          <w:numId w:val="2"/>
        </w:numPr>
        <w:spacing w:after="60" w:before="60"/>
      </w:pPr>
      <w:hyperlink w:history="1" r:id="rIdhty6vr0i4496eazp8qr6r">
        <w:r>
          <w:rPr>
            <w:rFonts w:ascii="Arial" w:cs="Arial" w:eastAsia="Arial" w:hAnsi="Arial"/>
            <w:color w:val="1155CC"/>
            <w:sz w:val="22"/>
            <w:szCs w:val="22"/>
            <w:u w:val="single"/>
          </w:rPr>
          <w:t xml:space="preserve">DermNet NZ — Vitiligo Reference: https://dermnetnz.org/topics/vitiligo</w:t>
        </w:r>
      </w:hyperlink>
    </w:p>
    <w:p>
      <w:pPr>
        <w:pStyle w:val="ListParagraph"/>
        <w:numPr>
          <w:ilvl w:val="0"/>
          <w:numId w:val="2"/>
        </w:numPr>
        <w:spacing w:after="60" w:before="60"/>
      </w:pPr>
      <w:hyperlink w:history="1" r:id="rIdp18y5eu1mfixg-qtpxl_6">
        <w:r>
          <w:rPr>
            <w:rFonts w:ascii="Arial" w:cs="Arial" w:eastAsia="Arial" w:hAnsi="Arial"/>
            <w:color w:val="1155CC"/>
            <w:sz w:val="22"/>
            <w:szCs w:val="22"/>
            <w:u w:val="single"/>
          </w:rPr>
          <w:t xml:space="preserve">SCIN — Google Research Dataset: https://github.com/google-research-datasets/scin</w:t>
        </w:r>
      </w:hyperlink>
    </w:p>
    <w:p>
      <w:pPr>
        <w:pBdr>
          <w:bottom w:val="single" w:color="2980B9" w:sz="6" w:space="1"/>
        </w:pBdr>
        <w:spacing w:after="120" w:before="120"/>
      </w:pPr>
    </w:p>
    <w:p>
      <w:r>
        <w:br w:type="page"/>
      </w:r>
    </w:p>
    <w:p>
      <w:pPr>
        <w:spacing w:after="160" w:before="320"/>
      </w:pPr>
      <w:r>
        <w:rPr>
          <w:rFonts w:ascii="Arial" w:cs="Arial" w:eastAsia="Arial" w:hAnsi="Arial"/>
          <w:b/>
          <w:bCs/>
          <w:color w:val="6A1B9A"/>
          <w:sz w:val="38"/>
          <w:szCs w:val="38"/>
        </w:rPr>
        <w:t xml:space="preserve">DISEASE 5: WARTS (VIRAL LESIONS)</w:t>
      </w:r>
    </w:p>
    <w:p>
      <w:pPr>
        <w:pBdr>
          <w:bottom w:val="single" w:color="2980B9" w:sz="6" w:space="1"/>
        </w:pBdr>
        <w:spacing w:after="120" w:before="120"/>
      </w:pPr>
    </w:p>
    <w:p>
      <w:pPr>
        <w:spacing w:after="120" w:before="160"/>
      </w:pPr>
      <w:r>
        <w:rPr>
          <w:rFonts w:ascii="Arial" w:cs="Arial" w:eastAsia="Arial" w:hAnsi="Arial"/>
          <w:b/>
          <w:bCs/>
          <w:color w:val="6A1B9A"/>
          <w:sz w:val="24"/>
          <w:szCs w:val="24"/>
        </w:rPr>
        <w:t xml:space="preserve">OVERVIEW</w:t>
      </w:r>
    </w:p>
    <w:p>
      <w:pPr>
        <w:spacing w:after="80" w:before="80" w:line="300"/>
      </w:pPr>
      <w:r>
        <w:rPr>
          <w:rFonts w:ascii="Arial" w:cs="Arial" w:eastAsia="Arial" w:hAnsi="Arial"/>
          <w:color w:val="1C2833"/>
          <w:sz w:val="22"/>
          <w:szCs w:val="22"/>
        </w:rPr>
        <w:t xml:space="preserve">Warts are benign epidermal growths caused by infection with Human Papillomavirus (HPV). They are among the most common dermatological complaints worldwide, particularly in children and immunocompromised individuals. Over 200 HPV types have been identified; different strains cause distinct clinical presentations. Though non-malignant in most cases, certain HPV strains (notably HPV-16 and HPV-18) are known carcinogens — but standard cutaneous warts are caused by low-risk strains like HPV-1, 2, and 4.</w:t>
      </w:r>
    </w:p>
    <w:p>
      <w:pPr>
        <w:spacing w:after="100" w:before="200"/>
      </w:pPr>
      <w:r>
        <w:rPr>
          <w:rFonts w:ascii="Arial" w:cs="Arial" w:eastAsia="Arial" w:hAnsi="Arial"/>
          <w:b/>
          <w:bCs/>
          <w:color w:val="6A1B9A"/>
          <w:sz w:val="24"/>
          <w:szCs w:val="24"/>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Type</w:t>
            </w:r>
          </w:p>
        </w:tc>
        <w:tc>
          <w:tcPr>
            <w:tcW w:type="dxa" w:w="7160"/>
            <w:tcBorders>
              <w:top w:val="single" w:color="AED6F1" w:sz="1"/>
              <w:left w:val="single" w:color="AED6F1" w:sz="1"/>
              <w:bottom w:val="single" w:color="AED6F1" w:sz="1"/>
              <w:right w:val="single" w:color="AED6F1" w:sz="1"/>
            </w:tcBorders>
            <w:shd w:fill="F3E5F5" w:val="clear"/>
            <w:tcMar>
              <w:top w:type="dxa" w:w="80"/>
              <w:left w:type="dxa" w:w="120"/>
              <w:bottom w:type="dxa" w:w="80"/>
              <w:right w:type="dxa" w:w="120"/>
            </w:tcMar>
          </w:tcPr>
          <w:p>
            <w:r>
              <w:rPr>
                <w:rFonts w:ascii="Arial" w:cs="Arial" w:eastAsia="Arial" w:hAnsi="Arial"/>
                <w:color w:val="1C2833"/>
                <w:sz w:val="20"/>
                <w:szCs w:val="20"/>
              </w:rPr>
              <w:t xml:space="preserve">HPV-induced benign epidermal hyperplasia</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Prevalence</w:t>
            </w:r>
          </w:p>
        </w:tc>
        <w:tc>
          <w:tcPr>
            <w:tcW w:type="dxa" w:w="7160"/>
            <w:tcBorders>
              <w:top w:val="single" w:color="AED6F1" w:sz="1"/>
              <w:left w:val="single" w:color="AED6F1" w:sz="1"/>
              <w:bottom w:val="single" w:color="AED6F1" w:sz="1"/>
              <w:right w:val="single" w:color="AED6F1" w:sz="1"/>
            </w:tcBorders>
            <w:shd w:fill="F3E5F5" w:val="clear"/>
            <w:tcMar>
              <w:top w:type="dxa" w:w="80"/>
              <w:left w:type="dxa" w:w="120"/>
              <w:bottom w:type="dxa" w:w="80"/>
              <w:right w:type="dxa" w:w="120"/>
            </w:tcMar>
          </w:tcPr>
          <w:p>
            <w:r>
              <w:rPr>
                <w:rFonts w:ascii="Arial" w:cs="Arial" w:eastAsia="Arial" w:hAnsi="Arial"/>
                <w:color w:val="1C2833"/>
                <w:sz w:val="20"/>
                <w:szCs w:val="20"/>
              </w:rPr>
              <w:t xml:space="preserve">~10% of children; up to 20% of school-age kids</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Causative Agent</w:t>
            </w:r>
          </w:p>
        </w:tc>
        <w:tc>
          <w:tcPr>
            <w:tcW w:type="dxa" w:w="7160"/>
            <w:tcBorders>
              <w:top w:val="single" w:color="AED6F1" w:sz="1"/>
              <w:left w:val="single" w:color="AED6F1" w:sz="1"/>
              <w:bottom w:val="single" w:color="AED6F1" w:sz="1"/>
              <w:right w:val="single" w:color="AED6F1" w:sz="1"/>
            </w:tcBorders>
            <w:shd w:fill="F3E5F5" w:val="clear"/>
            <w:tcMar>
              <w:top w:type="dxa" w:w="80"/>
              <w:left w:type="dxa" w:w="120"/>
              <w:bottom w:type="dxa" w:w="80"/>
              <w:right w:type="dxa" w:w="120"/>
            </w:tcMar>
          </w:tcPr>
          <w:p>
            <w:r>
              <w:rPr>
                <w:rFonts w:ascii="Arial" w:cs="Arial" w:eastAsia="Arial" w:hAnsi="Arial"/>
                <w:color w:val="1C2833"/>
                <w:sz w:val="20"/>
                <w:szCs w:val="20"/>
              </w:rPr>
              <w:t xml:space="preserve">Human Papillomavirus (HPV types 1, 2, 4, 10 etc.)</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Transmission</w:t>
            </w:r>
          </w:p>
        </w:tc>
        <w:tc>
          <w:tcPr>
            <w:tcW w:type="dxa" w:w="7160"/>
            <w:tcBorders>
              <w:top w:val="single" w:color="AED6F1" w:sz="1"/>
              <w:left w:val="single" w:color="AED6F1" w:sz="1"/>
              <w:bottom w:val="single" w:color="AED6F1" w:sz="1"/>
              <w:right w:val="single" w:color="AED6F1" w:sz="1"/>
            </w:tcBorders>
            <w:shd w:fill="F3E5F5" w:val="clear"/>
            <w:tcMar>
              <w:top w:type="dxa" w:w="80"/>
              <w:left w:type="dxa" w:w="120"/>
              <w:bottom w:type="dxa" w:w="80"/>
              <w:right w:type="dxa" w:w="120"/>
            </w:tcMar>
          </w:tcPr>
          <w:p>
            <w:r>
              <w:rPr>
                <w:rFonts w:ascii="Arial" w:cs="Arial" w:eastAsia="Arial" w:hAnsi="Arial"/>
                <w:color w:val="1C2833"/>
                <w:sz w:val="20"/>
                <w:szCs w:val="20"/>
              </w:rPr>
              <w:t xml:space="preserve">Direct skin contact; auto-inoculation; fomites</w:t>
            </w:r>
          </w:p>
        </w:tc>
      </w:tr>
      <w:tr>
        <w:tc>
          <w:tcPr>
            <w:tcW w:type="dxa" w:w="2200"/>
            <w:tcBorders>
              <w:top w:val="single" w:color="AED6F1" w:sz="1"/>
              <w:left w:val="single" w:color="AED6F1" w:sz="1"/>
              <w:bottom w:val="single" w:color="AED6F1" w:sz="1"/>
              <w:right w:val="single" w:color="AED6F1" w:sz="1"/>
            </w:tcBorders>
            <w:shd w:fill="AED6F1" w:val="clear"/>
            <w:tcMar>
              <w:top w:type="dxa" w:w="80"/>
              <w:left w:type="dxa" w:w="120"/>
              <w:bottom w:type="dxa" w:w="80"/>
              <w:right w:type="dxa" w:w="120"/>
            </w:tcMar>
          </w:tcPr>
          <w:p>
            <w:r>
              <w:rPr>
                <w:rFonts w:ascii="Arial" w:cs="Arial" w:eastAsia="Arial" w:hAnsi="Arial"/>
                <w:b/>
                <w:bCs/>
                <w:color w:val="1A5276"/>
                <w:sz w:val="20"/>
                <w:szCs w:val="20"/>
              </w:rPr>
              <w:t xml:space="preserve">AI Detection</w:t>
            </w:r>
          </w:p>
        </w:tc>
        <w:tc>
          <w:tcPr>
            <w:tcW w:type="dxa" w:w="7160"/>
            <w:tcBorders>
              <w:top w:val="single" w:color="AED6F1" w:sz="1"/>
              <w:left w:val="single" w:color="AED6F1" w:sz="1"/>
              <w:bottom w:val="single" w:color="AED6F1" w:sz="1"/>
              <w:right w:val="single" w:color="AED6F1" w:sz="1"/>
            </w:tcBorders>
            <w:shd w:fill="F3E5F5" w:val="clear"/>
            <w:tcMar>
              <w:top w:type="dxa" w:w="80"/>
              <w:left w:type="dxa" w:w="120"/>
              <w:bottom w:type="dxa" w:w="80"/>
              <w:right w:type="dxa" w:w="120"/>
            </w:tcMar>
          </w:tcPr>
          <w:p>
            <w:r>
              <w:rPr>
                <w:rFonts w:ascii="Arial" w:cs="Arial" w:eastAsia="Arial" w:hAnsi="Arial"/>
                <w:color w:val="1C2833"/>
                <w:sz w:val="20"/>
                <w:szCs w:val="20"/>
              </w:rPr>
              <w:t xml:space="preserve">Surface texture analysis, hyperkeratotic papule identification</w:t>
            </w:r>
          </w:p>
        </w:tc>
      </w:tr>
    </w:tbl>
    <w:p>
      <w:pPr>
        <w:spacing w:after="100" w:before="220"/>
      </w:pPr>
      <w:r>
        <w:rPr>
          <w:rFonts w:ascii="Arial" w:cs="Arial" w:eastAsia="Arial" w:hAnsi="Arial"/>
          <w:b/>
          <w:bCs/>
          <w:color w:val="6A1B9A"/>
          <w:sz w:val="24"/>
          <w:szCs w:val="24"/>
        </w:rPr>
        <w:t xml:space="preserve">PATHOPHYSIOLOGY</w:t>
      </w:r>
    </w:p>
    <w:p>
      <w:pPr>
        <w:spacing w:after="80" w:before="80" w:line="300"/>
      </w:pPr>
      <w:r>
        <w:rPr>
          <w:rFonts w:ascii="Arial" w:cs="Arial" w:eastAsia="Arial" w:hAnsi="Arial"/>
          <w:color w:val="1C2833"/>
          <w:sz w:val="22"/>
          <w:szCs w:val="22"/>
        </w:rPr>
        <w:t xml:space="preserve">HPV infects keratinocytes in the basal layer through micro-abrasions. The viral E6 and E7 oncoproteins disrupt normal cell cycle regulation by inactivating p53 and pRb tumor suppressors, leading to hyperproliferation of infected keratinocytes. The immune system in healthy individuals eventually clears most warts spontaneously (60-70% clear within 2 years without treatment). The characteristic 'black dots' seen in common warts are thrombosed capillaries within the dermal papillae, displaced by rapid epidermal proliferation.</w:t>
      </w:r>
    </w:p>
    <w:p>
      <w:pPr>
        <w:spacing w:after="100" w:before="220"/>
      </w:pPr>
      <w:r>
        <w:rPr>
          <w:rFonts w:ascii="Arial" w:cs="Arial" w:eastAsia="Arial" w:hAnsi="Arial"/>
          <w:b/>
          <w:bCs/>
          <w:color w:val="6A1B9A"/>
          <w:sz w:val="24"/>
          <w:szCs w:val="24"/>
        </w:rPr>
        <w:t xml:space="preserve">CLASSIFICATION OF WARTS</w:t>
      </w:r>
    </w:p>
    <w:p>
      <w:pPr>
        <w:pStyle w:val="ListParagraph"/>
        <w:numPr>
          <w:ilvl w:val="0"/>
          <w:numId w:val="2"/>
        </w:numPr>
        <w:spacing w:after="60" w:before="60"/>
      </w:pPr>
      <w:r>
        <w:rPr>
          <w:rFonts w:ascii="Arial" w:cs="Arial" w:eastAsia="Arial" w:hAnsi="Arial"/>
          <w:b w:val="false"/>
          <w:bCs w:val="false"/>
          <w:color w:val="1C2833"/>
          <w:sz w:val="22"/>
          <w:szCs w:val="22"/>
        </w:rPr>
        <w:t xml:space="preserve">Verruca vulgaris (Common warts): Rough, hyperkeratotic, dome-shaped papules — hands, knees</w:t>
      </w:r>
    </w:p>
    <w:p>
      <w:pPr>
        <w:pStyle w:val="ListParagraph"/>
        <w:numPr>
          <w:ilvl w:val="0"/>
          <w:numId w:val="2"/>
        </w:numPr>
        <w:spacing w:after="60" w:before="60"/>
      </w:pPr>
      <w:r>
        <w:rPr>
          <w:rFonts w:ascii="Arial" w:cs="Arial" w:eastAsia="Arial" w:hAnsi="Arial"/>
          <w:b w:val="false"/>
          <w:bCs w:val="false"/>
          <w:color w:val="1C2833"/>
          <w:sz w:val="22"/>
          <w:szCs w:val="22"/>
        </w:rPr>
        <w:t xml:space="preserve">Verruca plantaris (Plantar warts): Deep, painful, on soles; may have mosaic pattern</w:t>
      </w:r>
    </w:p>
    <w:p>
      <w:pPr>
        <w:pStyle w:val="ListParagraph"/>
        <w:numPr>
          <w:ilvl w:val="0"/>
          <w:numId w:val="2"/>
        </w:numPr>
        <w:spacing w:after="60" w:before="60"/>
      </w:pPr>
      <w:r>
        <w:rPr>
          <w:rFonts w:ascii="Arial" w:cs="Arial" w:eastAsia="Arial" w:hAnsi="Arial"/>
          <w:b w:val="false"/>
          <w:bCs w:val="false"/>
          <w:color w:val="1C2833"/>
          <w:sz w:val="22"/>
          <w:szCs w:val="22"/>
        </w:rPr>
        <w:t xml:space="preserve">Verruca plana (Flat warts): Smooth, flat-topped, flesh-colored — face, hands, legs</w:t>
      </w:r>
    </w:p>
    <w:p>
      <w:pPr>
        <w:pStyle w:val="ListParagraph"/>
        <w:numPr>
          <w:ilvl w:val="0"/>
          <w:numId w:val="2"/>
        </w:numPr>
        <w:spacing w:after="60" w:before="60"/>
      </w:pPr>
      <w:r>
        <w:rPr>
          <w:rFonts w:ascii="Arial" w:cs="Arial" w:eastAsia="Arial" w:hAnsi="Arial"/>
          <w:b w:val="false"/>
          <w:bCs w:val="false"/>
          <w:color w:val="1C2833"/>
          <w:sz w:val="22"/>
          <w:szCs w:val="22"/>
        </w:rPr>
        <w:t xml:space="preserve">Filiform warts: Long, thread-like projections — around eyelids, nose, lips</w:t>
      </w:r>
    </w:p>
    <w:p>
      <w:pPr>
        <w:pStyle w:val="ListParagraph"/>
        <w:numPr>
          <w:ilvl w:val="0"/>
          <w:numId w:val="2"/>
        </w:numPr>
        <w:spacing w:after="60" w:before="60"/>
      </w:pPr>
      <w:r>
        <w:rPr>
          <w:rFonts w:ascii="Arial" w:cs="Arial" w:eastAsia="Arial" w:hAnsi="Arial"/>
          <w:b w:val="false"/>
          <w:bCs w:val="false"/>
          <w:color w:val="1C2833"/>
          <w:sz w:val="22"/>
          <w:szCs w:val="22"/>
        </w:rPr>
        <w:t xml:space="preserve">Condyloma acuminata (Genital warts): HPV-6 and HPV-11; sexually transmitted</w:t>
      </w:r>
    </w:p>
    <w:p>
      <w:pPr>
        <w:pStyle w:val="ListParagraph"/>
        <w:numPr>
          <w:ilvl w:val="0"/>
          <w:numId w:val="2"/>
        </w:numPr>
        <w:spacing w:after="60" w:before="60"/>
      </w:pPr>
      <w:r>
        <w:rPr>
          <w:rFonts w:ascii="Arial" w:cs="Arial" w:eastAsia="Arial" w:hAnsi="Arial"/>
          <w:b w:val="false"/>
          <w:bCs w:val="false"/>
          <w:color w:val="1C2833"/>
          <w:sz w:val="22"/>
          <w:szCs w:val="22"/>
        </w:rPr>
        <w:t xml:space="preserve">Epidermodysplasia verruciformis: Rare genetic disorder with widespread HPV infection and malignant risk</w:t>
      </w:r>
    </w:p>
    <w:p>
      <w:pPr>
        <w:spacing w:after="100" w:before="220"/>
      </w:pPr>
      <w:r>
        <w:rPr>
          <w:rFonts w:ascii="Arial" w:cs="Arial" w:eastAsia="Arial" w:hAnsi="Arial"/>
          <w:b/>
          <w:bCs/>
          <w:color w:val="6A1B9A"/>
          <w:sz w:val="24"/>
          <w:szCs w:val="24"/>
        </w:rPr>
        <w:t xml:space="preserve">CLINICAL MIMICS (DIFFERENTIAL DIAGNOSIS)</w:t>
      </w:r>
    </w:p>
    <w:p>
      <w:pPr>
        <w:pStyle w:val="ListParagraph"/>
        <w:numPr>
          <w:ilvl w:val="0"/>
          <w:numId w:val="2"/>
        </w:numPr>
        <w:spacing w:after="60" w:before="60"/>
      </w:pPr>
      <w:r>
        <w:rPr>
          <w:rFonts w:ascii="Arial" w:cs="Arial" w:eastAsia="Arial" w:hAnsi="Arial"/>
          <w:b w:val="false"/>
          <w:bCs w:val="false"/>
          <w:color w:val="1C2833"/>
          <w:sz w:val="22"/>
          <w:szCs w:val="22"/>
        </w:rPr>
        <w:t xml:space="preserve">Molluscum contagiosum: Poxvirus-caused; umbilicated papules — different from warts</w:t>
      </w:r>
    </w:p>
    <w:p>
      <w:pPr>
        <w:pStyle w:val="ListParagraph"/>
        <w:numPr>
          <w:ilvl w:val="0"/>
          <w:numId w:val="2"/>
        </w:numPr>
        <w:spacing w:after="60" w:before="60"/>
      </w:pPr>
      <w:r>
        <w:rPr>
          <w:rFonts w:ascii="Arial" w:cs="Arial" w:eastAsia="Arial" w:hAnsi="Arial"/>
          <w:b w:val="false"/>
          <w:bCs w:val="false"/>
          <w:color w:val="1C2833"/>
          <w:sz w:val="22"/>
          <w:szCs w:val="22"/>
        </w:rPr>
        <w:t xml:space="preserve">Seborrheic keratosis: Stuck-on, waxy appearance — may mimic flat warts in elderly</w:t>
      </w:r>
    </w:p>
    <w:p>
      <w:pPr>
        <w:pStyle w:val="ListParagraph"/>
        <w:numPr>
          <w:ilvl w:val="0"/>
          <w:numId w:val="2"/>
        </w:numPr>
        <w:spacing w:after="60" w:before="60"/>
      </w:pPr>
      <w:r>
        <w:rPr>
          <w:rFonts w:ascii="Arial" w:cs="Arial" w:eastAsia="Arial" w:hAnsi="Arial"/>
          <w:b w:val="false"/>
          <w:bCs w:val="false"/>
          <w:color w:val="1C2833"/>
          <w:sz w:val="22"/>
          <w:szCs w:val="22"/>
        </w:rPr>
        <w:t xml:space="preserve">Calluses/corns: No black dots; no interrupted skin lines; different location pattern</w:t>
      </w:r>
    </w:p>
    <w:p>
      <w:pPr>
        <w:pStyle w:val="ListParagraph"/>
        <w:numPr>
          <w:ilvl w:val="0"/>
          <w:numId w:val="2"/>
        </w:numPr>
        <w:spacing w:after="60" w:before="60"/>
      </w:pPr>
      <w:r>
        <w:rPr>
          <w:rFonts w:ascii="Arial" w:cs="Arial" w:eastAsia="Arial" w:hAnsi="Arial"/>
          <w:b w:val="false"/>
          <w:bCs w:val="false"/>
          <w:color w:val="1C2833"/>
          <w:sz w:val="22"/>
          <w:szCs w:val="22"/>
        </w:rPr>
        <w:t xml:space="preserve">Amelanotic melanoma: Can rarely mimic hyperkeratotic wart — biopsy if uncertain</w:t>
      </w:r>
    </w:p>
    <w:p>
      <w:pPr>
        <w:pStyle w:val="ListParagraph"/>
        <w:numPr>
          <w:ilvl w:val="0"/>
          <w:numId w:val="2"/>
        </w:numPr>
        <w:spacing w:after="60" w:before="60"/>
      </w:pPr>
      <w:r>
        <w:rPr>
          <w:rFonts w:ascii="Arial" w:cs="Arial" w:eastAsia="Arial" w:hAnsi="Arial"/>
          <w:b w:val="false"/>
          <w:bCs w:val="false"/>
          <w:color w:val="1C2833"/>
          <w:sz w:val="22"/>
          <w:szCs w:val="22"/>
        </w:rPr>
        <w:t xml:space="preserve">Squamous cell carcinoma: In immunocompromised patients with chronic 'warts'</w:t>
      </w:r>
    </w:p>
    <w:p>
      <w:pPr>
        <w:spacing w:after="100" w:before="220"/>
      </w:pPr>
      <w:r>
        <w:rPr>
          <w:rFonts w:ascii="Arial" w:cs="Arial" w:eastAsia="Arial" w:hAnsi="Arial"/>
          <w:b/>
          <w:bCs/>
          <w:color w:val="6A1B9A"/>
          <w:sz w:val="24"/>
          <w:szCs w:val="24"/>
        </w:rPr>
        <w:t xml:space="preserve">TREATMENT APPROACHES</w:t>
      </w:r>
    </w:p>
    <w:p>
      <w:pPr>
        <w:pStyle w:val="ListParagraph"/>
        <w:numPr>
          <w:ilvl w:val="0"/>
          <w:numId w:val="2"/>
        </w:numPr>
        <w:spacing w:after="60" w:before="60"/>
      </w:pPr>
      <w:r>
        <w:rPr>
          <w:rFonts w:ascii="Arial" w:cs="Arial" w:eastAsia="Arial" w:hAnsi="Arial"/>
          <w:b w:val="false"/>
          <w:bCs w:val="false"/>
          <w:color w:val="1C2833"/>
          <w:sz w:val="22"/>
          <w:szCs w:val="22"/>
        </w:rPr>
        <w:t xml:space="preserve">Watchful waiting — 60-70% of warts resolve spontaneously within 2 years</w:t>
      </w:r>
    </w:p>
    <w:p>
      <w:pPr>
        <w:pStyle w:val="ListParagraph"/>
        <w:numPr>
          <w:ilvl w:val="0"/>
          <w:numId w:val="2"/>
        </w:numPr>
        <w:spacing w:after="60" w:before="60"/>
      </w:pPr>
      <w:r>
        <w:rPr>
          <w:rFonts w:ascii="Arial" w:cs="Arial" w:eastAsia="Arial" w:hAnsi="Arial"/>
          <w:b w:val="false"/>
          <w:bCs w:val="false"/>
          <w:color w:val="1C2833"/>
          <w:sz w:val="22"/>
          <w:szCs w:val="22"/>
        </w:rPr>
        <w:t xml:space="preserve">Salicylic acid preparations — keratolytic; first-line topical treatment</w:t>
      </w:r>
    </w:p>
    <w:p>
      <w:pPr>
        <w:pStyle w:val="ListParagraph"/>
        <w:numPr>
          <w:ilvl w:val="0"/>
          <w:numId w:val="2"/>
        </w:numPr>
        <w:spacing w:after="60" w:before="60"/>
      </w:pPr>
      <w:r>
        <w:rPr>
          <w:rFonts w:ascii="Arial" w:cs="Arial" w:eastAsia="Arial" w:hAnsi="Arial"/>
          <w:b w:val="false"/>
          <w:bCs w:val="false"/>
          <w:color w:val="1C2833"/>
          <w:sz w:val="22"/>
          <w:szCs w:val="22"/>
        </w:rPr>
        <w:t xml:space="preserve">Cryotherapy (liquid nitrogen) — freezes and destroys infected keratinocytes</w:t>
      </w:r>
    </w:p>
    <w:p>
      <w:pPr>
        <w:pStyle w:val="ListParagraph"/>
        <w:numPr>
          <w:ilvl w:val="0"/>
          <w:numId w:val="2"/>
        </w:numPr>
        <w:spacing w:after="60" w:before="60"/>
      </w:pPr>
      <w:r>
        <w:rPr>
          <w:rFonts w:ascii="Arial" w:cs="Arial" w:eastAsia="Arial" w:hAnsi="Arial"/>
          <w:b w:val="false"/>
          <w:bCs w:val="false"/>
          <w:color w:val="1C2833"/>
          <w:sz w:val="22"/>
          <w:szCs w:val="22"/>
        </w:rPr>
        <w:t xml:space="preserve">Immunotherapy (DPCP, imiquimod) — stimulates local immune response against HPV</w:t>
      </w:r>
    </w:p>
    <w:p>
      <w:pPr>
        <w:pStyle w:val="ListParagraph"/>
        <w:numPr>
          <w:ilvl w:val="0"/>
          <w:numId w:val="2"/>
        </w:numPr>
        <w:spacing w:after="60" w:before="60"/>
      </w:pPr>
      <w:r>
        <w:rPr>
          <w:rFonts w:ascii="Arial" w:cs="Arial" w:eastAsia="Arial" w:hAnsi="Arial"/>
          <w:b w:val="false"/>
          <w:bCs w:val="false"/>
          <w:color w:val="1C2833"/>
          <w:sz w:val="22"/>
          <w:szCs w:val="22"/>
        </w:rPr>
        <w:t xml:space="preserve">Laser ablation (CO2 laser) — for recalcitrant or extensive warts</w:t>
      </w:r>
    </w:p>
    <w:p>
      <w:pPr>
        <w:pStyle w:val="ListParagraph"/>
        <w:numPr>
          <w:ilvl w:val="0"/>
          <w:numId w:val="2"/>
        </w:numPr>
        <w:spacing w:after="60" w:before="60"/>
      </w:pPr>
      <w:r>
        <w:rPr>
          <w:rFonts w:ascii="Arial" w:cs="Arial" w:eastAsia="Arial" w:hAnsi="Arial"/>
          <w:b w:val="false"/>
          <w:bCs w:val="false"/>
          <w:color w:val="1C2833"/>
          <w:sz w:val="22"/>
          <w:szCs w:val="22"/>
        </w:rPr>
        <w:t xml:space="preserve">HPV vaccine (Gardasil) — prevents high-risk and genital wart HPV strains</w:t>
      </w:r>
    </w:p>
    <w:p>
      <w:pPr>
        <w:spacing w:after="100" w:before="220"/>
      </w:pPr>
      <w:r>
        <w:rPr>
          <w:rFonts w:ascii="Arial" w:cs="Arial" w:eastAsia="Arial" w:hAnsi="Arial"/>
          <w:b/>
          <w:bCs/>
          <w:color w:val="6A1B9A"/>
          <w:sz w:val="24"/>
          <w:szCs w:val="24"/>
        </w:rPr>
        <w:t xml:space="preserve">RELEVANCE TO SKIN-NET (AI MODEL)</w:t>
      </w:r>
    </w:p>
    <w:p>
      <w:pPr>
        <w:spacing w:after="80" w:before="80" w:line="300"/>
      </w:pPr>
      <w:r>
        <w:rPr>
          <w:rFonts w:ascii="Arial" w:cs="Arial" w:eastAsia="Arial" w:hAnsi="Arial"/>
          <w:color w:val="1C2833"/>
          <w:sz w:val="22"/>
          <w:szCs w:val="22"/>
        </w:rPr>
        <w:t xml:space="preserve">Common warts have distinctive texture features — hyperkeratotic surface, disrupted skin lines, and thrombosed capillary dots — that CNNs can learn well in high-resolution images. However, phone camera images sent via WhatsApp will often lack the resolution to see capillary dots, making texture and shape the primary features. The main challenge is distinguishing warts from calluses and seborrheic keratosis. Plantar warts are particularly hard to classify from phone images given their subsurface growth pattern. Consider this as a real-world accuracy limitation in your capstone discussion.</w:t>
      </w:r>
    </w:p>
    <w:p>
      <w:pPr>
        <w:spacing w:after="100" w:before="220"/>
      </w:pPr>
      <w:r>
        <w:rPr>
          <w:rFonts w:ascii="Arial" w:cs="Arial" w:eastAsia="Arial" w:hAnsi="Arial"/>
          <w:b/>
          <w:bCs/>
          <w:color w:val="6A1B9A"/>
          <w:sz w:val="24"/>
          <w:szCs w:val="24"/>
        </w:rPr>
        <w:t xml:space="preserve">DATASETS &amp; RESOURCES FOR KNOWLEDGE BASE ENRICHMENT</w:t>
      </w:r>
    </w:p>
    <w:p>
      <w:pPr>
        <w:pStyle w:val="ListParagraph"/>
        <w:numPr>
          <w:ilvl w:val="0"/>
          <w:numId w:val="2"/>
        </w:numPr>
        <w:spacing w:after="60" w:before="60"/>
      </w:pPr>
      <w:hyperlink w:history="1" r:id="rIdip46qbqjroa167qcnisqb">
        <w:r>
          <w:rPr>
            <w:rFonts w:ascii="Arial" w:cs="Arial" w:eastAsia="Arial" w:hAnsi="Arial"/>
            <w:color w:val="1155CC"/>
            <w:sz w:val="22"/>
            <w:szCs w:val="22"/>
            <w:u w:val="single"/>
          </w:rPr>
          <w:t xml:space="preserve">PAD-UFES-20 (includes wart-like lesions): https://data.mendeley.com/datasets/zr7vgbcyr2/1</w:t>
        </w:r>
      </w:hyperlink>
    </w:p>
    <w:p>
      <w:pPr>
        <w:pStyle w:val="ListParagraph"/>
        <w:numPr>
          <w:ilvl w:val="0"/>
          <w:numId w:val="2"/>
        </w:numPr>
        <w:spacing w:after="60" w:before="60"/>
      </w:pPr>
      <w:hyperlink w:history="1" r:id="rIdvmts6hdreo7sjkzb__yj7">
        <w:r>
          <w:rPr>
            <w:rFonts w:ascii="Arial" w:cs="Arial" w:eastAsia="Arial" w:hAnsi="Arial"/>
            <w:color w:val="1155CC"/>
            <w:sz w:val="22"/>
            <w:szCs w:val="22"/>
            <w:u w:val="single"/>
          </w:rPr>
          <w:t xml:space="preserve">DermNet Kaggle Dataset: https://www.kaggle.com/datasets/shubhamgoel27/dermnet</w:t>
        </w:r>
      </w:hyperlink>
    </w:p>
    <w:p>
      <w:pPr>
        <w:pStyle w:val="ListParagraph"/>
        <w:numPr>
          <w:ilvl w:val="0"/>
          <w:numId w:val="2"/>
        </w:numPr>
        <w:spacing w:after="60" w:before="60"/>
      </w:pPr>
      <w:hyperlink w:history="1" r:id="rIddizhbskz06b54hdutzwd4">
        <w:r>
          <w:rPr>
            <w:rFonts w:ascii="Arial" w:cs="Arial" w:eastAsia="Arial" w:hAnsi="Arial"/>
            <w:color w:val="1155CC"/>
            <w:sz w:val="22"/>
            <w:szCs w:val="22"/>
            <w:u w:val="single"/>
          </w:rPr>
          <w:t xml:space="preserve">HAM10000 (dermatofibroma, keratosis — visual mimics): https://www.kaggle.com/datasets/kmader/skin-lesion-analysis-toward-melanoma-detection</w:t>
        </w:r>
      </w:hyperlink>
    </w:p>
    <w:p>
      <w:pPr>
        <w:pStyle w:val="ListParagraph"/>
        <w:numPr>
          <w:ilvl w:val="0"/>
          <w:numId w:val="2"/>
        </w:numPr>
        <w:spacing w:after="60" w:before="60"/>
      </w:pPr>
      <w:hyperlink w:history="1" r:id="rIdt6fjn1jatqgbvcipbafm7">
        <w:r>
          <w:rPr>
            <w:rFonts w:ascii="Arial" w:cs="Arial" w:eastAsia="Arial" w:hAnsi="Arial"/>
            <w:color w:val="1155CC"/>
            <w:sz w:val="22"/>
            <w:szCs w:val="22"/>
            <w:u w:val="single"/>
          </w:rPr>
          <w:t xml:space="preserve">DermNet NZ — Warts Reference: https://dermnetnz.org/topics/warts</w:t>
        </w:r>
      </w:hyperlink>
    </w:p>
    <w:p>
      <w:pPr>
        <w:pStyle w:val="ListParagraph"/>
        <w:numPr>
          <w:ilvl w:val="0"/>
          <w:numId w:val="2"/>
        </w:numPr>
        <w:spacing w:after="60" w:before="60"/>
      </w:pPr>
      <w:hyperlink w:history="1" r:id="rIdkz-rxvb6nmqmzwk_puhwe">
        <w:r>
          <w:rPr>
            <w:rFonts w:ascii="Arial" w:cs="Arial" w:eastAsia="Arial" w:hAnsi="Arial"/>
            <w:color w:val="1155CC"/>
            <w:sz w:val="22"/>
            <w:szCs w:val="22"/>
            <w:u w:val="single"/>
          </w:rPr>
          <w:t xml:space="preserve">ISIC Archive (broader skin lesion datasets): https://www.isic-archive.com/</w:t>
        </w:r>
      </w:hyperlink>
    </w:p>
    <w:p>
      <w:pPr>
        <w:pBdr>
          <w:bottom w:val="single" w:color="2980B9" w:sz="6" w:space="1"/>
        </w:pBdr>
        <w:spacing w:after="120" w:before="120"/>
      </w:pPr>
    </w:p>
    <w:p>
      <w:r>
        <w:br w:type="page"/>
      </w:r>
    </w:p>
    <w:p>
      <w:pPr>
        <w:pStyle w:val="Heading1"/>
        <w:spacing w:after="160" w:before="320"/>
      </w:pPr>
      <w:r>
        <w:rPr>
          <w:rFonts w:ascii="Arial" w:cs="Arial" w:eastAsia="Arial" w:hAnsi="Arial"/>
          <w:b/>
          <w:bCs/>
          <w:color w:val="1A5276"/>
          <w:sz w:val="36"/>
          <w:szCs w:val="36"/>
        </w:rPr>
        <w:t xml:space="preserve">GENERAL DERMATOLOGY DATASETS &amp; RESOURCES</w:t>
      </w:r>
    </w:p>
    <w:p>
      <w:pPr>
        <w:spacing w:after="80" w:before="80" w:line="300"/>
      </w:pPr>
      <w:r>
        <w:rPr>
          <w:rFonts w:ascii="Arial" w:cs="Arial" w:eastAsia="Arial" w:hAnsi="Arial"/>
          <w:color w:val="1C2833"/>
          <w:sz w:val="22"/>
          <w:szCs w:val="22"/>
        </w:rPr>
        <w:t xml:space="preserve">The following resources are useful across all five disease classes in your Skin-Net model:</w:t>
      </w:r>
    </w:p>
    <w:p>
      <w:pPr>
        <w:spacing w:after="100" w:before="200"/>
      </w:pPr>
      <w:r>
        <w:rPr>
          <w:rFonts w:ascii="Arial" w:cs="Arial" w:eastAsia="Arial" w:hAnsi="Arial"/>
          <w:b/>
          <w:bCs/>
          <w:color w:val="1A5276"/>
          <w:sz w:val="24"/>
          <w:szCs w:val="24"/>
        </w:rPr>
        <w:t xml:space="preserve">MULTI-CLASS DATASETS</w:t>
      </w:r>
    </w:p>
    <w:p>
      <w:pPr>
        <w:pStyle w:val="ListParagraph"/>
        <w:numPr>
          <w:ilvl w:val="0"/>
          <w:numId w:val="2"/>
        </w:numPr>
        <w:spacing w:after="60" w:before="60"/>
      </w:pPr>
      <w:hyperlink w:history="1" r:id="rIddefwabyhoqkw8zly1-puo">
        <w:r>
          <w:rPr>
            <w:rFonts w:ascii="Arial" w:cs="Arial" w:eastAsia="Arial" w:hAnsi="Arial"/>
            <w:color w:val="1155CC"/>
            <w:sz w:val="22"/>
            <w:szCs w:val="22"/>
            <w:u w:val="single"/>
          </w:rPr>
          <w:t xml:space="preserve">ISIC Archive — International Skin Imaging Collaboration (gold standard): https://www.isic-archive.com/</w:t>
        </w:r>
      </w:hyperlink>
    </w:p>
    <w:p>
      <w:pPr>
        <w:pStyle w:val="ListParagraph"/>
        <w:numPr>
          <w:ilvl w:val="0"/>
          <w:numId w:val="2"/>
        </w:numPr>
        <w:spacing w:after="60" w:before="60"/>
      </w:pPr>
      <w:hyperlink w:history="1" r:id="rIdtpkpjoam0mn5l1rt0x6ij">
        <w:r>
          <w:rPr>
            <w:rFonts w:ascii="Arial" w:cs="Arial" w:eastAsia="Arial" w:hAnsi="Arial"/>
            <w:color w:val="1155CC"/>
            <w:sz w:val="22"/>
            <w:szCs w:val="22"/>
            <w:u w:val="single"/>
          </w:rPr>
          <w:t xml:space="preserve">DermNet Kaggle (23 skin disease classes, 19.5K images): https://www.kaggle.com/datasets/shubhamgoel27/dermnet</w:t>
        </w:r>
      </w:hyperlink>
    </w:p>
    <w:p>
      <w:pPr>
        <w:pStyle w:val="ListParagraph"/>
        <w:numPr>
          <w:ilvl w:val="0"/>
          <w:numId w:val="2"/>
        </w:numPr>
        <w:spacing w:after="60" w:before="60"/>
      </w:pPr>
      <w:hyperlink w:history="1" r:id="rIdtmf-qfo31nnjwafn9bkeh">
        <w:r>
          <w:rPr>
            <w:rFonts w:ascii="Arial" w:cs="Arial" w:eastAsia="Arial" w:hAnsi="Arial"/>
            <w:color w:val="1155CC"/>
            <w:sz w:val="22"/>
            <w:szCs w:val="22"/>
            <w:u w:val="single"/>
          </w:rPr>
          <w:t xml:space="preserve">HAM10000 — 10K dermoscopy images, 7 classes: https://www.kaggle.com/datasets/kmader/skin-lesion-analysis-toward-melanoma-detection</w:t>
        </w:r>
      </w:hyperlink>
    </w:p>
    <w:p>
      <w:pPr>
        <w:pStyle w:val="ListParagraph"/>
        <w:numPr>
          <w:ilvl w:val="0"/>
          <w:numId w:val="2"/>
        </w:numPr>
        <w:spacing w:after="60" w:before="60"/>
      </w:pPr>
      <w:hyperlink w:history="1" r:id="rIdwqn5dsp5ix-me2ugexij_">
        <w:r>
          <w:rPr>
            <w:rFonts w:ascii="Arial" w:cs="Arial" w:eastAsia="Arial" w:hAnsi="Arial"/>
            <w:color w:val="1155CC"/>
            <w:sz w:val="22"/>
            <w:szCs w:val="22"/>
            <w:u w:val="single"/>
          </w:rPr>
          <w:t xml:space="preserve">PAD-UFES-20 — Your primary dataset (Mendeley): https://data.mendeley.com/datasets/zr7vgbcyr2/1</w:t>
        </w:r>
      </w:hyperlink>
    </w:p>
    <w:p>
      <w:pPr>
        <w:pStyle w:val="ListParagraph"/>
        <w:numPr>
          <w:ilvl w:val="0"/>
          <w:numId w:val="2"/>
        </w:numPr>
        <w:spacing w:after="60" w:before="60"/>
      </w:pPr>
      <w:hyperlink w:history="1" r:id="rIdvzgisaov2jxpi22gnnsdd">
        <w:r>
          <w:rPr>
            <w:rFonts w:ascii="Arial" w:cs="Arial" w:eastAsia="Arial" w:hAnsi="Arial"/>
            <w:color w:val="1155CC"/>
            <w:sz w:val="22"/>
            <w:szCs w:val="22"/>
            <w:u w:val="single"/>
          </w:rPr>
          <w:t xml:space="preserve">SCIN by Google Research — 10K+ diverse skin images: https://github.com/google-research-datasets/scin</w:t>
        </w:r>
      </w:hyperlink>
    </w:p>
    <w:p>
      <w:pPr>
        <w:pStyle w:val="ListParagraph"/>
        <w:numPr>
          <w:ilvl w:val="0"/>
          <w:numId w:val="2"/>
        </w:numPr>
        <w:spacing w:after="60" w:before="60"/>
      </w:pPr>
      <w:hyperlink w:history="1" r:id="rIdila5dqghmlssvzmgwxjit">
        <w:r>
          <w:rPr>
            <w:rFonts w:ascii="Arial" w:cs="Arial" w:eastAsia="Arial" w:hAnsi="Arial"/>
            <w:color w:val="1155CC"/>
            <w:sz w:val="22"/>
            <w:szCs w:val="22"/>
            <w:u w:val="single"/>
          </w:rPr>
          <w:t xml:space="preserve">Fitzpatrick 17k — Diverse skin tone dataset: https://github.com/mattgroh/fitzpatrick17k</w:t>
        </w:r>
      </w:hyperlink>
    </w:p>
    <w:p>
      <w:pPr>
        <w:pStyle w:val="ListParagraph"/>
        <w:numPr>
          <w:ilvl w:val="0"/>
          <w:numId w:val="2"/>
        </w:numPr>
        <w:spacing w:after="60" w:before="60"/>
      </w:pPr>
      <w:hyperlink w:history="1" r:id="rIdlm9o2sfnp7pr7pqmw_hdc">
        <w:r>
          <w:rPr>
            <w:rFonts w:ascii="Arial" w:cs="Arial" w:eastAsia="Arial" w:hAnsi="Arial"/>
            <w:color w:val="1155CC"/>
            <w:sz w:val="22"/>
            <w:szCs w:val="22"/>
            <w:u w:val="single"/>
          </w:rPr>
          <w:t xml:space="preserve">DDI — Stanford biopsy-confirmed diverse dataset: https://ddi-dataset.github.io/</w:t>
        </w:r>
      </w:hyperlink>
    </w:p>
    <w:p>
      <w:pPr>
        <w:spacing w:after="100" w:before="200"/>
      </w:pPr>
      <w:r>
        <w:rPr>
          <w:rFonts w:ascii="Arial" w:cs="Arial" w:eastAsia="Arial" w:hAnsi="Arial"/>
          <w:b/>
          <w:bCs/>
          <w:color w:val="1A5276"/>
          <w:sz w:val="24"/>
          <w:szCs w:val="24"/>
        </w:rPr>
        <w:t xml:space="preserve">CLINICAL REFERENCE SITES</w:t>
      </w:r>
    </w:p>
    <w:p>
      <w:pPr>
        <w:pStyle w:val="ListParagraph"/>
        <w:numPr>
          <w:ilvl w:val="0"/>
          <w:numId w:val="2"/>
        </w:numPr>
        <w:spacing w:after="60" w:before="60"/>
      </w:pPr>
      <w:hyperlink w:history="1" r:id="rIdrqf5n-vhj_knffghpa8hf">
        <w:r>
          <w:rPr>
            <w:rFonts w:ascii="Arial" w:cs="Arial" w:eastAsia="Arial" w:hAnsi="Arial"/>
            <w:color w:val="1155CC"/>
            <w:sz w:val="22"/>
            <w:szCs w:val="22"/>
            <w:u w:val="single"/>
          </w:rPr>
          <w:t xml:space="preserve">DermNet NZ (Best free clinical dermatology reference): https://dermnetnz.org/</w:t>
        </w:r>
      </w:hyperlink>
    </w:p>
    <w:p>
      <w:pPr>
        <w:pStyle w:val="ListParagraph"/>
        <w:numPr>
          <w:ilvl w:val="0"/>
          <w:numId w:val="2"/>
        </w:numPr>
        <w:spacing w:after="60" w:before="60"/>
      </w:pPr>
      <w:hyperlink w:history="1" r:id="rIdgjxgjwhbyqrlanchwvyt1">
        <w:r>
          <w:rPr>
            <w:rFonts w:ascii="Arial" w:cs="Arial" w:eastAsia="Arial" w:hAnsi="Arial"/>
            <w:color w:val="1155CC"/>
            <w:sz w:val="22"/>
            <w:szCs w:val="22"/>
            <w:u w:val="single"/>
          </w:rPr>
          <w:t xml:space="preserve">AAD (American Academy of Dermatology): https://www.aad.org/public/diseases</w:t>
        </w:r>
      </w:hyperlink>
    </w:p>
    <w:p>
      <w:pPr>
        <w:pStyle w:val="ListParagraph"/>
        <w:numPr>
          <w:ilvl w:val="0"/>
          <w:numId w:val="2"/>
        </w:numPr>
        <w:spacing w:after="60" w:before="60"/>
      </w:pPr>
      <w:hyperlink w:history="1" r:id="rIdy8xaqcqckpxztd1enzlua">
        <w:r>
          <w:rPr>
            <w:rFonts w:ascii="Arial" w:cs="Arial" w:eastAsia="Arial" w:hAnsi="Arial"/>
            <w:color w:val="1155CC"/>
            <w:sz w:val="22"/>
            <w:szCs w:val="22"/>
            <w:u w:val="single"/>
          </w:rPr>
          <w:t xml:space="preserve">VisualDx — Clinical diagnostic decision support: https://www.visualdx.com/</w:t>
        </w:r>
      </w:hyperlink>
    </w:p>
    <w:p>
      <w:pPr>
        <w:pStyle w:val="ListParagraph"/>
        <w:numPr>
          <w:ilvl w:val="0"/>
          <w:numId w:val="2"/>
        </w:numPr>
        <w:spacing w:after="60" w:before="60"/>
      </w:pPr>
      <w:hyperlink w:history="1" r:id="rIdlealso4qy8kvbt-9_rh5u">
        <w:r>
          <w:rPr>
            <w:rFonts w:ascii="Arial" w:cs="Arial" w:eastAsia="Arial" w:hAnsi="Arial"/>
            <w:color w:val="1155CC"/>
            <w:sz w:val="22"/>
            <w:szCs w:val="22"/>
            <w:u w:val="single"/>
          </w:rPr>
          <w:t xml:space="preserve">Skinive — AI skin disease dataset reviews: https://skinive.com/skin-disease-datasets/</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980B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y3q3r22bnyleqtxcsyyy" Type="http://schemas.openxmlformats.org/officeDocument/2006/relationships/hyperlink" Target="https://www.kaggle.com/datasets/shubhamgoel27/dermnet" TargetMode="External"/><Relationship Id="rIdt4ucf7devrudzz11mia-g" Type="http://schemas.openxmlformats.org/officeDocument/2006/relationships/hyperlink" Target="https://github.com/xpwu95/LDL" TargetMode="External"/><Relationship Id="rIdeyif-js2tko_9aqqbamo2" Type="http://schemas.openxmlformats.org/officeDocument/2006/relationships/hyperlink" Target="https://www.isic-archive.com/" TargetMode="External"/><Relationship Id="rIdrhljp4my4lni6pit9613r" Type="http://schemas.openxmlformats.org/officeDocument/2006/relationships/hyperlink" Target="https://dermnetnz.org/topics/acne" TargetMode="External"/><Relationship Id="rIdqrxyte_ows-ormwoe6s-g" Type="http://schemas.openxmlformats.org/officeDocument/2006/relationships/hyperlink" Target="https://www.kaggle.com/competitions/siim-isic-melanoma-classification" TargetMode="External"/><Relationship Id="rId4dmakerqo0w-8febaksym" Type="http://schemas.openxmlformats.org/officeDocument/2006/relationships/hyperlink" Target="https://www.kaggle.com/datasets/kmader/skin-lesion-analysis-toward-melanoma-detection" TargetMode="External"/><Relationship Id="rIdzlzzzf8q6lcgmawjetdvb" Type="http://schemas.openxmlformats.org/officeDocument/2006/relationships/hyperlink" Target="https://ai.nejm.org/doi/full/10.1056/AIdbp2400732" TargetMode="External"/><Relationship Id="rIdw7tmrt1ypliukkq0ezgxe" Type="http://schemas.openxmlformats.org/officeDocument/2006/relationships/hyperlink" Target="https://www.fc.up.pt/addi/ph2%20database.html" TargetMode="External"/><Relationship Id="rIdh9xwpec0fssf6uk85hm5l" Type="http://schemas.openxmlformats.org/officeDocument/2006/relationships/hyperlink" Target="https://www.isic-archive.com/" TargetMode="External"/><Relationship Id="rId1xfu4whs-e_phwuy2-bcz" Type="http://schemas.openxmlformats.org/officeDocument/2006/relationships/hyperlink" Target="https://www.kaggle.com/datasets/shubhamgoel27/dermnet" TargetMode="External"/><Relationship Id="rIdmhs_cm52yxdzfolbt1dhe" Type="http://schemas.openxmlformats.org/officeDocument/2006/relationships/hyperlink" Target="https://www.kaggle.com/datasets/kmader/skin-lesion-analysis-toward-melanoma-detection" TargetMode="External"/><Relationship Id="rIduphebklihx_egyelr8nzx" Type="http://schemas.openxmlformats.org/officeDocument/2006/relationships/hyperlink" Target="https://ddi-dataset.github.io/" TargetMode="External"/><Relationship Id="rIddi9wj80kzhu22h1x_xtjl" Type="http://schemas.openxmlformats.org/officeDocument/2006/relationships/hyperlink" Target="https://github.com/google-research-datasets/scin" TargetMode="External"/><Relationship Id="rIdh4uc5t5yflwjvs3g3usbh" Type="http://schemas.openxmlformats.org/officeDocument/2006/relationships/hyperlink" Target="https://dermnetnz.org/topics/psoriasis" TargetMode="External"/><Relationship Id="rIdic5lb1ose63e1bhjufeai" Type="http://schemas.openxmlformats.org/officeDocument/2006/relationships/hyperlink" Target="https://data.mendeley.com/datasets/zr7vgbcyr2/1" TargetMode="External"/><Relationship Id="rIdhwrwxvug1cjyzsnjegtfe" Type="http://schemas.openxmlformats.org/officeDocument/2006/relationships/hyperlink" Target="https://github.com/mattgroh/fitzpatrick17k" TargetMode="External"/><Relationship Id="rIdf21qyw-2ieonzjtomfpny" Type="http://schemas.openxmlformats.org/officeDocument/2006/relationships/hyperlink" Target="https://ddi-dataset.github.io/" TargetMode="External"/><Relationship Id="rIdhty6vr0i4496eazp8qr6r" Type="http://schemas.openxmlformats.org/officeDocument/2006/relationships/hyperlink" Target="https://dermnetnz.org/topics/vitiligo" TargetMode="External"/><Relationship Id="rIdp18y5eu1mfixg-qtpxl_6" Type="http://schemas.openxmlformats.org/officeDocument/2006/relationships/hyperlink" Target="https://github.com/google-research-datasets/scin" TargetMode="External"/><Relationship Id="rIdip46qbqjroa167qcnisqb" Type="http://schemas.openxmlformats.org/officeDocument/2006/relationships/hyperlink" Target="https://data.mendeley.com/datasets/zr7vgbcyr2/1" TargetMode="External"/><Relationship Id="rIdvmts6hdreo7sjkzb__yj7" Type="http://schemas.openxmlformats.org/officeDocument/2006/relationships/hyperlink" Target="https://www.kaggle.com/datasets/shubhamgoel27/dermnet" TargetMode="External"/><Relationship Id="rIddizhbskz06b54hdutzwd4" Type="http://schemas.openxmlformats.org/officeDocument/2006/relationships/hyperlink" Target="https://www.kaggle.com/datasets/kmader/skin-lesion-analysis-toward-melanoma-detection" TargetMode="External"/><Relationship Id="rIdt6fjn1jatqgbvcipbafm7" Type="http://schemas.openxmlformats.org/officeDocument/2006/relationships/hyperlink" Target="https://dermnetnz.org/topics/warts" TargetMode="External"/><Relationship Id="rIdkz-rxvb6nmqmzwk_puhwe" Type="http://schemas.openxmlformats.org/officeDocument/2006/relationships/hyperlink" Target="https://www.isic-archive.com/" TargetMode="External"/><Relationship Id="rIddefwabyhoqkw8zly1-puo" Type="http://schemas.openxmlformats.org/officeDocument/2006/relationships/hyperlink" Target="https://www.isic-archive.com/" TargetMode="External"/><Relationship Id="rIdtpkpjoam0mn5l1rt0x6ij" Type="http://schemas.openxmlformats.org/officeDocument/2006/relationships/hyperlink" Target="https://www.kaggle.com/datasets/shubhamgoel27/dermnet" TargetMode="External"/><Relationship Id="rIdtmf-qfo31nnjwafn9bkeh" Type="http://schemas.openxmlformats.org/officeDocument/2006/relationships/hyperlink" Target="https://www.kaggle.com/datasets/kmader/skin-lesion-analysis-toward-melanoma-detection" TargetMode="External"/><Relationship Id="rIdwqn5dsp5ix-me2ugexij_" Type="http://schemas.openxmlformats.org/officeDocument/2006/relationships/hyperlink" Target="https://data.mendeley.com/datasets/zr7vgbcyr2/1" TargetMode="External"/><Relationship Id="rIdvzgisaov2jxpi22gnnsdd" Type="http://schemas.openxmlformats.org/officeDocument/2006/relationships/hyperlink" Target="https://github.com/google-research-datasets/scin" TargetMode="External"/><Relationship Id="rIdila5dqghmlssvzmgwxjit" Type="http://schemas.openxmlformats.org/officeDocument/2006/relationships/hyperlink" Target="https://github.com/mattgroh/fitzpatrick17k" TargetMode="External"/><Relationship Id="rIdlm9o2sfnp7pr7pqmw_hdc" Type="http://schemas.openxmlformats.org/officeDocument/2006/relationships/hyperlink" Target="https://ddi-dataset.github.io/" TargetMode="External"/><Relationship Id="rIdrqf5n-vhj_knffghpa8hf" Type="http://schemas.openxmlformats.org/officeDocument/2006/relationships/hyperlink" Target="https://dermnetnz.org/" TargetMode="External"/><Relationship Id="rIdgjxgjwhbyqrlanchwvyt1" Type="http://schemas.openxmlformats.org/officeDocument/2006/relationships/hyperlink" Target="https://www.aad.org/public/diseases" TargetMode="External"/><Relationship Id="rIdy8xaqcqckpxztd1enzlua" Type="http://schemas.openxmlformats.org/officeDocument/2006/relationships/hyperlink" Target="https://www.visualdx.com/" TargetMode="External"/><Relationship Id="rIdlealso4qy8kvbt-9_rh5u" Type="http://schemas.openxmlformats.org/officeDocument/2006/relationships/hyperlink" Target="https://skinive.com/skin-disease-datasets/" TargetMode="Externa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2026-03-30T06:32:39.016Z</dcterms:created>
  <dcterms:modified xsi:type="dcterms:W3CDTF">2026-03-30T06:32:39.016Z</dcterms:modified>
</cp:coreProperties>
</file>

<file path=docProps/custom.xml><?xml version="1.0" encoding="utf-8"?>
<Properties xmlns="http://schemas.openxmlformats.org/officeDocument/2006/custom-properties" xmlns:vt="http://schemas.openxmlformats.org/officeDocument/2006/docPropsVTypes"/>
</file>