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000001" w:rsidR="003B0332" w:rsidRDefault="003B0332" w:rsidP="00DE2B2B">
      <w:pPr>
        <w:pStyle w:val="Heading1"/>
      </w:pPr>
      <w:r>
        <w:t>Introduction</w:t>
      </w:r>
    </w:p>
    <w:p w14:paraId="00000002" w14:textId="00000002" w:rsidR="003B0332" w:rsidRDefault="00855005" w:rsidP="003B0332">
      <w:r>
        <w:rPr>
          <w:rFonts w:ascii="Aptos" w:hAnsi="Aptos"/>
        </w:rPr>
        <w:t>This literature review examines the technical foundations required to design, build, and test a low-cost 3D hologram-like RGB LED fan display. The review is structured in two parts. The first part (Section 1) establishes the conceptual basis for the chosen display technology: it compares the swept-surface persistence-of-vision (POV) fan against holographic and volumetric alternatives, examines the perceptual mechanism and flicker-fusion thresholds that govern image stability, and surveys existing educational, advertising, and public-information applications of the technology. The second part (Section 2) addresses the engineering implementation: it reviews methods for delivering power to a rotating assembly while maintaining dynamic balance, embedded architectures for motor control and rotor-position sensing, and the software requirements for image processing and wireless synchronisation. Together, these two strands of literature inform and justify the key design decisions underpinning the project’s functional requirements.</w:t>
      </w:r>
    </w:p>
    <w:p w14:paraId="122577AF" w14:textId="77777777" w:rsidR="003B0332" w:rsidRDefault="003B0332" w:rsidP="00DE2B2B">
      <w:pPr>
        <w:pStyle w:val="Heading2"/>
      </w:pPr>
      <w:r>
        <w:t>## 1.1 Volumetric and Persistence-of-Vision Display Technologies</w:t>
      </w:r>
    </w:p>
    <w:p w14:paraId="426D2700" w14:textId="77777777" w:rsidR="003B0332" w:rsidRDefault="003B0332" w:rsidP="003B0332"/>
    <w:p w14:paraId="29E65504" w14:textId="0B8E0D22" w:rsidR="003B0332" w:rsidRDefault="00855005" w:rsidP="003B0332">
      <w:r>
        <w:rPr>
          <w:rFonts w:ascii="Aptos" w:hAnsi="Aptos"/>
        </w:rPr>
        <w:t xml:space="preserve">3D display technologies range from holographic and volumetric systems, which reconstruct light fields with addressable image points, to POV devices that trade optical completeness for mechanical simplicity. This section surveys that spectrum and establishes, through the literature, why the swept-surface POV fan is the most cost-effective and practically viable option. </w:t>
      </w:r>
    </w:p>
    <w:p w14:paraId="4BF14F8E" w14:textId="639A7AEF" w:rsidR="003B0332" w:rsidRDefault="00855005" w:rsidP="003B0332">
      <w:r>
        <w:rPr>
          <w:rFonts w:ascii="Aptos" w:hAnsi="Aptos"/>
        </w:rPr>
        <w:t>Holographic 3D displays reconstruct the complete wavefront of an object but remain constrained by three fundamental barriers: slow computation that prevents real-time rendering, a viewing angle of only a few degrees caused by the mismatch between visible wavelengths and spatial light modulator pixel pitch, and speckle noise from coherent laser illumination. Together, these factors continue to exclude holographic systems from commercial applications (Huang et al., 2026).</w:t>
      </w:r>
    </w:p>
    <w:p w14:paraId="41529E56" w14:textId="17B562B2" w:rsidR="003B0332" w:rsidRDefault="00855005" w:rsidP="003B0332">
      <w:r>
        <w:rPr>
          <w:rFonts w:ascii="Aptos" w:hAnsi="Aptos"/>
        </w:rPr>
        <w:t>POV displays operate on a simpler principle: a one-dimensional LED array is rotated rapidly through space, and the human eye integrates successive radial sweeps into a complete 2D image (Mishra et al., 2021). Saleh et al. (2018) demonstrate this hardware economy directly; a propeller display reproducing content equivalent to 525 static LEDs was realised with only eight rotating LEDs and a single position sensor.</w:t>
      </w:r>
    </w:p>
    <w:p w14:paraId="3F49CCA2" w14:textId="5E638B9D" w:rsidR="003B0332" w:rsidRDefault="00855005" w:rsidP="003B0332">
      <w:r>
        <w:rPr>
          <w:rFonts w:ascii="Aptos" w:hAnsi="Aptos"/>
        </w:rPr>
        <w:t>Priya et al. (2020) describe a holographic fan that produces an apparently floating 3D image using RGB LED strips on rotating blades, achieving an augmented-reality effect without viewer-worn apparatus. Cheng et al. (2018) integrate power delivery and interactive control into a compact rotating assembly, confirming manufacturability at small scale. Across these implementations, the POV fan achieves a 3D effect at a fraction of the optical complexity and cost of holographic or volumetric systems (Saleh et al., 2018; Priya et al., 2020).</w:t>
      </w:r>
    </w:p>
    <w:p w14:paraId="0D3C4649" w14:textId="27E8C60F" w:rsidR="003B0332" w:rsidRDefault="00855005" w:rsidP="003B0332">
      <w:r>
        <w:rPr>
          <w:rFonts w:ascii="Aptos" w:hAnsi="Aptos"/>
        </w:rPr>
        <w:t>The literature supports the design decision to pursue a swept-surface POV fan over volumetric or holographic alternatives. The computation demands, narrow viewing angle, and coherent-optics requirements of holographic systems (Huang et al., 2026) are incompatible with the budget, whereas the documented hardware economy of POV fan displays (Saleh et al., 2018) aligns directly with that constraint.</w:t>
      </w:r>
    </w:p>
    <w:p w14:paraId="1FCFCD03" w14:textId="77777777" w:rsidR="003B0332" w:rsidRDefault="003B0332" w:rsidP="003B0332"/>
    <w:p w14:paraId="12590BD1" w14:textId="77777777" w:rsidR="00416CC6" w:rsidRDefault="00416CC6" w:rsidP="003B0332"/>
    <w:p w14:paraId="5B3FE7D7" w14:textId="77777777" w:rsidR="00416CC6" w:rsidRDefault="00416CC6" w:rsidP="003B0332"/>
    <w:p w14:paraId="5A0F3C15" w14:textId="77777777" w:rsidR="00416CC6" w:rsidRDefault="00416CC6" w:rsidP="003B0332"/>
    <w:p w14:paraId="01F8C170" w14:textId="77777777" w:rsidR="003B0332" w:rsidRDefault="003B0332" w:rsidP="00DE2B2B">
      <w:pPr>
        <w:pStyle w:val="Heading2"/>
      </w:pPr>
      <w:r>
        <w:lastRenderedPageBreak/>
        <w:t>## 1.2 The Persistence of Vision Effect</w:t>
      </w:r>
    </w:p>
    <w:p w14:paraId="3F2194E5" w14:textId="77777777" w:rsidR="003B0332" w:rsidRDefault="003B0332" w:rsidP="003B0332"/>
    <w:p w14:paraId="1E434864" w14:textId="1BA651E4" w:rsidR="003B0332" w:rsidRPr="002B3972" w:rsidRDefault="002B3972" w:rsidP="003B0332">
      <w:pPr>
        <w:rPr>
          <w:rFonts w:ascii="Aptos" w:hAnsi="Aptos"/>
        </w:rPr>
      </w:pPr>
      <w:r>
        <w:rPr>
          <w:rFonts w:ascii="Aptos" w:hAnsi="Aptos"/>
        </w:rPr>
        <w:t>The POV effect exploits the temporal integration of the human visual system to render a moving LED array as a continuous image. The governing parameter is the critical flicker fusion (CFF) threshold. This is the frequency above which an intermittent stimulus is perceived as steady, which determines the minimum effective refresh rate and the minimum rotational speed required for a stable, flicker-free display.</w:t>
      </w:r>
    </w:p>
    <w:p w14:paraId="38A29AD3" w14:textId="076FE7CF" w:rsidR="003B0332" w:rsidRDefault="002B3972" w:rsidP="003B0332">
      <w:r>
        <w:rPr>
          <w:rFonts w:ascii="Aptos" w:hAnsi="Aptos"/>
        </w:rPr>
        <w:t>POV is the brief retention of a visual stimulus after it is removed (Paul et al., 2014). Coltheart (1980) distinguishes several phenomena conflated under this label, identifying visible persistence, rather than neural persistence, as the mechanism that fuses intermittent stimuli into continuous perception. Mishra et al. (2021) attribute the integration of a spinning LED row into a 2D image to iconic memory, noting that the eye does not sample the world in discrete frames. Paul et al. (2014) report the widely cited lower bound of approximately 16 frames per second, below which distinct flashes are perceived.</w:t>
      </w:r>
    </w:p>
    <w:p w14:paraId="7E34CCC7" w14:textId="553C100F" w:rsidR="003B0332" w:rsidRDefault="002B3972" w:rsidP="003B0332">
      <w:r>
        <w:rPr>
          <w:rFonts w:ascii="Aptos" w:hAnsi="Aptos"/>
        </w:rPr>
        <w:t>Modern CFF measurements place the threshold above the 16 Hz lower bound. Haarlem et al. (2024) measured a mean CFF of approximately 50 Hz across participants, with values ranging from 34 Hz to 65 Hz, and reported that roughly 80% of the variance arose from stable inter-individual differences. CFF also rises with luminance, meaning a brighter display must refresh faster to appear steady (Haarlem et al., 2024). Comfortable flicker-free perception for most viewers therefore requires an effective refresh rate between 34 Hz and 50 Hz.</w:t>
      </w:r>
    </w:p>
    <w:p w14:paraId="2B6C9663" w14:textId="4F183BB2" w:rsidR="003B0332" w:rsidRDefault="002B3972" w:rsidP="003B0332">
      <w:r>
        <w:rPr>
          <w:rFonts w:ascii="Aptos" w:hAnsi="Aptos"/>
        </w:rPr>
        <w:t>Empirical POV studies confirm these thresholds and link them to rotational speed. Lee et al. (2022) found that a single-arm propeller display required approximately 950 rpm for image onset and 1 030 rpm for a flicker-free result, corresponding to 16 refreshes per second. A dual-arm rotor centred on its axis paints the full image twice per revolution, halving the rotational speed required to achieve the same effective refresh rate (Lee et al., 2022). This establishes the direct dependence of perceived stability on both rotational speed and arm count.</w:t>
      </w:r>
    </w:p>
    <w:p w14:paraId="779243B4" w14:textId="15695E8B" w:rsidR="000D0CDF" w:rsidRDefault="002B3972" w:rsidP="003B0332">
      <w:r>
        <w:rPr>
          <w:rFonts w:ascii="Aptos" w:hAnsi="Aptos"/>
        </w:rPr>
        <w:t>These thresholds justify the speed and refresh specifications. A dual-arm rotor at 700 rpm refreshes each angular position twice per revolution. This yields an effective refresh rate of approximately 23 Hz, above both the 16 Hz lower bound (Paul et al., 2014) and the empirical single-arm threshold (Lee et al., 2022). Since CFF rises with luminance (Haarlem et al., 2024), the indoor ambient-lighting requirement further supports maximising effective refresh rate through dual-arm geometry rather than increased rotational speed.</w:t>
      </w:r>
    </w:p>
    <w:p w14:paraId="59B287EC" w14:textId="77777777" w:rsidR="003B0332" w:rsidRDefault="003B0332" w:rsidP="003B0332"/>
    <w:p w14:paraId="311547D2" w14:textId="77777777" w:rsidR="003B0332" w:rsidRDefault="003B0332" w:rsidP="00DE2B2B">
      <w:pPr>
        <w:pStyle w:val="Heading2"/>
      </w:pPr>
      <w:r>
        <w:lastRenderedPageBreak/>
        <w:t>## 1.3 Applications and Market Context</w:t>
      </w:r>
    </w:p>
    <w:p w14:paraId="18710A06" w14:textId="77777777" w:rsidR="003B0332" w:rsidRDefault="003B0332" w:rsidP="003B0332"/>
    <w:p w14:paraId="49CED68C" w14:textId="5BC6A30F" w:rsidR="003B0332" w:rsidRDefault="003B0332" w:rsidP="003B0332">
      <w:r>
        <w:t xml:space="preserve">POV fan displays have documented </w:t>
      </w:r>
      <w:r>
        <w:rPr>
          <w:rFonts w:ascii="Aptos" w:hAnsi="Aptos"/>
        </w:rPr>
        <w:t>applications</w:t>
      </w:r>
      <w:r>
        <w:t xml:space="preserve"> in education, advertising, and public information.</w:t>
      </w:r>
    </w:p>
    <w:p w14:paraId="18B207BC" w14:textId="35BA0AA3" w:rsidR="003B0332" w:rsidRDefault="004D287A" w:rsidP="003B0332">
      <w:r>
        <w:rPr>
          <w:rFonts w:ascii="Aptos" w:hAnsi="Aptos"/>
        </w:rPr>
        <w:t>Studies on educational deployment report measurable learning benefits over conventional media. Fokides et al. (2023) found that 174 primary-school pupils using pseudo-holographic 3D LED fan displays outperformed peers using computer-rendered 3D models, with higher engagement and motivation. Ortega et al. (2020) similarly identified the technology as a low-cost resource for improving student motivation in secondary settings where specialist hardware is unavailable. Both studies identify affordability and ease of classroom integration as key adoption factors (Ortega et al., 2020; Fokides et al., 2023).</w:t>
      </w:r>
    </w:p>
    <w:p w14:paraId="00DF7890" w14:textId="5D46A8FA" w:rsidR="003B0332" w:rsidRDefault="004D287A" w:rsidP="003B0332">
      <w:r>
        <w:rPr>
          <w:rFonts w:ascii="Aptos" w:hAnsi="Aptos"/>
        </w:rPr>
        <w:t>Commercial and public-space applications constitute the primary deployment context for POV fan displays. Priya et al. (2020) identify advertising and advisory signage in shopping malls, airports, and exhibitions as principal domains, noting demand for glasses-free augmented-reality effects. Huang et al. (2026) similarly list education and entertainment as key drivers of three-dimensional display development. Across these sources, demand centres on portable units delivering reconfigurable three-dimensional content in high-footfall public spaces (Priya et al., 2020).</w:t>
      </w:r>
    </w:p>
    <w:p w14:paraId="22464E8A" w14:textId="77777777" w:rsidR="003B0332" w:rsidRDefault="003B0332" w:rsidP="003B0332"/>
    <w:p w14:paraId="2D9E0AF0" w14:textId="77777777" w:rsidR="00A1020A" w:rsidRDefault="00A1020A" w:rsidP="003B0332"/>
    <w:p w14:paraId="2CCF41AB" w14:textId="77777777" w:rsidR="00A1020A" w:rsidRDefault="00A1020A" w:rsidP="003B0332"/>
    <w:p w14:paraId="5CAB0620" w14:textId="77777777" w:rsidR="00A1020A" w:rsidRDefault="00A1020A" w:rsidP="003B0332"/>
    <w:p w14:paraId="137E1712" w14:textId="77777777" w:rsidR="00A1020A" w:rsidRDefault="00A1020A" w:rsidP="003B0332"/>
    <w:p w14:paraId="494E2AE6" w14:textId="77777777" w:rsidR="00A1020A" w:rsidRDefault="00A1020A" w:rsidP="003B0332"/>
    <w:p w14:paraId="0D75491D" w14:textId="77777777" w:rsidR="0044365E" w:rsidRDefault="0044365E" w:rsidP="003B0332"/>
    <w:p w14:paraId="17EAC74A" w14:textId="77777777" w:rsidR="0044365E" w:rsidRDefault="0044365E" w:rsidP="003B0332"/>
    <w:p w14:paraId="11A2C916" w14:textId="77777777" w:rsidR="0044365E" w:rsidRDefault="0044365E" w:rsidP="003B0332"/>
    <w:p w14:paraId="1909EE82" w14:textId="77777777" w:rsidR="00A1020A" w:rsidRDefault="00A1020A" w:rsidP="003B0332"/>
    <w:p w14:paraId="4B87A690" w14:textId="77777777" w:rsidR="00A1020A" w:rsidRDefault="00A1020A" w:rsidP="003B0332"/>
    <w:p w14:paraId="72562C16" w14:textId="77777777" w:rsidR="003B0332" w:rsidRDefault="003B0332" w:rsidP="003B0332"/>
    <w:p w14:paraId="6EE64917" w14:textId="77777777" w:rsidR="003B0332" w:rsidRDefault="003B0332" w:rsidP="00DE2B2B">
      <w:pPr>
        <w:pStyle w:val="Heading2"/>
      </w:pPr>
      <w:r>
        <w:lastRenderedPageBreak/>
        <w:t>## 2.1 Power Delivery and Dynamic Rotor Balancing</w:t>
      </w:r>
    </w:p>
    <w:p w14:paraId="138EF65D" w14:textId="77777777" w:rsidR="003B0332" w:rsidRDefault="003B0332" w:rsidP="003B0332"/>
    <w:p w14:paraId="584B8D7C" w14:textId="1A1647D7" w:rsidR="003B0332" w:rsidRDefault="00705803" w:rsidP="003B0332">
      <w:r>
        <w:rPr>
          <w:rFonts w:ascii="Aptos" w:hAnsi="Aptos"/>
        </w:rPr>
        <w:t xml:space="preserve">Delivering power to a rotating LED arm and maintaining dynamic balance are tightly coupled challenges: any mass added to address the first directly affects the second. Power can reach the rotating interface via sliding contacts, inductive transfer, or on-board energy storage. Each with distinct penalties in friction, efficiency, complexity, and added rotating mass. </w:t>
      </w:r>
    </w:p>
    <w:p w14:paraId="6CEB460C" w14:textId="28293D64" w:rsidR="003B0332" w:rsidRDefault="00705803" w:rsidP="003B0332">
      <w:r>
        <w:rPr>
          <w:rFonts w:ascii="Aptos" w:hAnsi="Aptos"/>
        </w:rPr>
        <w:t>Self-contained rotor power eliminates sliding contacts but adds mass that must be accommodated in the balancing problem. Lammers et al. (2016) show that additive manufacturing enables rotors with deliberately low moment of inertia and reduced mass, limiting both motor loading and imbalance-force magnitude when energy storage is carried on the rotating assembly. On-board cells avoid the wear, electrical noise, and limited life of sliding contacts, at the cost of finite run time and the requirement for symmetric mass placement.</w:t>
      </w:r>
    </w:p>
    <w:p w14:paraId="1399F368" w14:textId="6374DE4B" w:rsidR="003B0332" w:rsidRDefault="00705803" w:rsidP="003B0332">
      <w:r>
        <w:rPr>
          <w:rFonts w:ascii="Aptos" w:hAnsi="Aptos"/>
        </w:rPr>
        <w:t>Contactless and slip-based alternatives each introduce characteristic disadvantages. Cheng and Lin (2018) demonstrate a regenerative configuration in which an internal motor is reversed to self-supply DC power to the rotating LED circuit, eliminating external wiring and sliding contacts. However, air-gap variation and back-EMF ripple introduce vibration and electrical noise. Slip rings provide continuous current transfer but suffer wear and contact noise, while inductive coupling removes mechanical contact at the expense of transfer efficiency and added coil mass.</w:t>
      </w:r>
    </w:p>
    <w:p w14:paraId="7E821FC6" w14:textId="28708774" w:rsidR="003B0332" w:rsidRDefault="00296D62" w:rsidP="003B0332">
      <w:r>
        <w:rPr>
          <w:rFonts w:ascii="Aptos" w:hAnsi="Aptos"/>
        </w:rPr>
        <w:t xml:space="preserve">The reviewed sources collectively establish the power-delivery and balancing requirements. The low-inertia additively manufactured structures demonstrated by Lammers et al. (2016) mitigate the mass penalty of on-board cells, addressing the requirement to deliver power without physically restricting rotation (FR07). The vibration sources identified by Cheng and Lin (2018) establish the need to maintain acceptable vibration across the operating range. </w:t>
      </w:r>
    </w:p>
    <w:p w14:paraId="6109F4E6" w14:textId="77777777" w:rsidR="003B0332" w:rsidRDefault="003B0332" w:rsidP="003B0332"/>
    <w:p w14:paraId="1BB94227" w14:textId="77777777" w:rsidR="003B0332" w:rsidRDefault="003B0332" w:rsidP="003B0332"/>
    <w:p w14:paraId="64A0DC77" w14:textId="77777777" w:rsidR="0061077C" w:rsidRDefault="0061077C" w:rsidP="003B0332"/>
    <w:p w14:paraId="6DF01BCD" w14:textId="77777777" w:rsidR="0061077C" w:rsidRDefault="0061077C" w:rsidP="003B0332"/>
    <w:p w14:paraId="2F2F07CE" w14:textId="77777777" w:rsidR="0061077C" w:rsidRDefault="0061077C" w:rsidP="003B0332"/>
    <w:p w14:paraId="70E0DE83" w14:textId="77777777" w:rsidR="0061077C" w:rsidRDefault="0061077C" w:rsidP="003B0332"/>
    <w:p w14:paraId="78624D2C" w14:textId="77777777" w:rsidR="0061077C" w:rsidRDefault="0061077C" w:rsidP="003B0332"/>
    <w:p w14:paraId="2D2B96E1" w14:textId="77777777" w:rsidR="003B0332" w:rsidRDefault="003B0332" w:rsidP="00DE2B2B">
      <w:pPr>
        <w:pStyle w:val="Heading2"/>
      </w:pPr>
      <w:r>
        <w:lastRenderedPageBreak/>
        <w:t>## 2.2 Embedded Systems and Motor Control</w:t>
      </w:r>
    </w:p>
    <w:p w14:paraId="7C47FEDD" w14:textId="77777777" w:rsidR="003B0332" w:rsidRDefault="003B0332" w:rsidP="003B0332"/>
    <w:p w14:paraId="5A1B4100" w14:textId="5719D70E" w:rsidR="003B0332" w:rsidRPr="00410816" w:rsidRDefault="00B81F99" w:rsidP="003B0332">
      <w:pPr>
        <w:rPr>
          <w:rFonts w:ascii="Aptos" w:hAnsi="Aptos"/>
        </w:rPr>
      </w:pPr>
      <w:r>
        <w:rPr>
          <w:rFonts w:ascii="Aptos" w:hAnsi="Aptos"/>
        </w:rPr>
        <w:t>POV displays require two timing-critical tasks: precise motor-speed regulation and exact synchronisation of LED column output to rotor angle. The rotor-position sensing method determines angular accuracy. The motor-control method determines speed stability.  This section reviews dual-core embedded architectures, Hall-effect and optical position sensing, and BLDC motor control.</w:t>
      </w:r>
    </w:p>
    <w:p w14:paraId="36485292" w14:textId="71636952" w:rsidR="003B0332" w:rsidRDefault="003B0332" w:rsidP="003B0332">
      <w:r>
        <w:t>Dual-core microcontrollers allow motor control and LED output to run as parallel tasks, which is the principal advantage for POV driving. For example, the ESP32 provides two 32-bit processor cores operating at up to 240 MHz under a real-time operating system, allowing time-critical tasks to be pinned to separate cores so that wireless communication and system services can be done in parallel (Espressif Systems</w:t>
      </w:r>
      <w:r>
        <w:rPr>
          <w:rFonts w:ascii="Aptos" w:hAnsi="Aptos"/>
        </w:rPr>
        <w:t>, 2023). Macheso et al.</w:t>
      </w:r>
      <w:r>
        <w:t xml:space="preserve"> (2021) demonstrate that the same class of device can concurrently host an asynchronous network service while servicing sensor and timing tasks, confirming the feasibility of combining communication and real-time duties on a single low-cost module. In contrast, single-core POV implementations relied on a single processor to interleave all tasks, which constrained timing headroom (Paul et al</w:t>
      </w:r>
      <w:r>
        <w:rPr>
          <w:rFonts w:ascii="Aptos" w:hAnsi="Aptos"/>
        </w:rPr>
        <w:t>., 2014; Saleh et al.,</w:t>
      </w:r>
      <w:r>
        <w:t xml:space="preserve"> 2018).</w:t>
      </w:r>
    </w:p>
    <w:p w14:paraId="4C1CE70D" w14:textId="180D6A7C" w:rsidR="003B0332" w:rsidRDefault="003B0332" w:rsidP="003B0332">
      <w:r>
        <w:t>Rotor-position sensing in POV displays is commonly accomplished with a Hall-effect sensor that detects a fixed magnet once per revolution to establish an angular reference. The controller then interpolates column timing from the sensor</w:t>
      </w:r>
      <w:r>
        <w:rPr>
          <w:rFonts w:ascii="Aptos" w:hAnsi="Aptos"/>
        </w:rPr>
        <w:t>. This approach is adopted consistently across the surveyed implementations (Lee et al., 2022; Saleh et al., 2018)</w:t>
      </w:r>
      <w:r>
        <w:t>. A single index pulse fixes the once-per-revolution datum, while finer angular resolution is obtained by timing interpolation between pulses (Saleh et al</w:t>
      </w:r>
      <w:r>
        <w:rPr>
          <w:rFonts w:ascii="Aptos" w:hAnsi="Aptos"/>
        </w:rPr>
        <w:t>., 2018; Lee et al.,</w:t>
      </w:r>
      <w:r>
        <w:t xml:space="preserve"> 2022). The choice therefore trades sensor cost and complexity against achievable angular resolution.</w:t>
      </w:r>
    </w:p>
    <w:p w14:paraId="3CBE0D6F" w14:textId="0E66B60D" w:rsidR="003B0332" w:rsidRDefault="003B0332" w:rsidP="003B0332">
      <w:r>
        <w:t>Brushless direct-current motor control provides the stable, efficient speed regulation required to hold a constant image geometry. Kumar et al. (2024) implement field-oriented control (FOC) for a BLDC motor, transforming the three-phase stator currents into a rotating reference frame so that torque and flux are controlled independently. This yields accurate closed-loop speed regulation with low torque ripple. Cheng and Lin (2018) note that careful magnetic design of the permanent-magnet BLDC motor reduces back-electromotive-force ripple and the associated vibration, which is relevant where smooth rotation is required.</w:t>
      </w:r>
    </w:p>
    <w:p w14:paraId="206EF7C2" w14:textId="77777777" w:rsidR="0061077C" w:rsidRDefault="0061077C" w:rsidP="003B0332"/>
    <w:p w14:paraId="089227A9" w14:textId="77777777" w:rsidR="003B0332" w:rsidRDefault="003B0332" w:rsidP="003B0332"/>
    <w:p w14:paraId="6A0833F7" w14:textId="6DC49D3D" w:rsidR="003B0332" w:rsidRDefault="003B0332" w:rsidP="00DE2B2B">
      <w:pPr>
        <w:pStyle w:val="Heading2"/>
      </w:pPr>
      <w:r>
        <w:lastRenderedPageBreak/>
        <w:t>## 2.3 Software Architecture</w:t>
      </w:r>
      <w:r>
        <w:rPr>
          <w:rFonts w:ascii="Aptos Display" w:hAnsi="Aptos Display"/>
        </w:rPr>
        <w:t>, Image Processing and Wireless Synchronisation</w:t>
      </w:r>
    </w:p>
    <w:p w14:paraId="57BE8610" w14:textId="77777777" w:rsidR="003B0332" w:rsidRDefault="003B0332" w:rsidP="003B0332"/>
    <w:p w14:paraId="7B5335D5" w14:textId="1D78EDE4" w:rsidR="003B0332" w:rsidRDefault="002B3BB1" w:rsidP="003B0332">
      <w:r>
        <w:rPr>
          <w:rFonts w:ascii="Aptos" w:hAnsi="Aptos"/>
        </w:rPr>
        <w:t>The software stack must deliver a user interface, transform raster images into a polar column map, buffer animation frames, and synchronise multiple units over a wireless link. This section reviews embedded web-server hosting, the polar transformation and its interpolation, animation buffering, and the wireless synchronisation protocol for multi-unit coordination.</w:t>
      </w:r>
    </w:p>
    <w:p w14:paraId="7036FF9E" w14:textId="58B2368A" w:rsidR="003B0332" w:rsidRDefault="002B3BB1" w:rsidP="003B0332">
      <w:r>
        <w:rPr>
          <w:rFonts w:ascii="Aptos" w:hAnsi="Aptos"/>
        </w:rPr>
        <w:t>A resource-constrained microcontroller can host a web server, removing the need for installed client software. Macheso et al. (2021) demonstrated a standalone asynchronous web server on an ESP32 that served real-time data to clients, confirming that a low-cost embedded device can act as both access point and web host. Any browser-equipped device can connect without client-side installation (Macheso et al., 2021; Espressif Systems, 2023).</w:t>
      </w:r>
    </w:p>
    <w:p w14:paraId="5EE0DDC3" w14:textId="5AE1F5B7" w:rsidR="003B0332" w:rsidRDefault="002B3BB1" w:rsidP="003B0332">
      <w:r>
        <w:rPr>
          <w:rFonts w:ascii="Aptos" w:hAnsi="Aptos"/>
        </w:rPr>
        <w:t>The LED column map requires a Cartesian-to-polar transformation: each pixel at (x, y) maps to a radius and angle via the standard polar relations. Because the polar sampling grid does not align with the Cartesian pixel grid, the transform is non-uniform and requires interpolation to avoid artefacts (Park et al., 2007). Matungka et al. (2009) show that the conventional log-polar transform under-samples the periphery and over-samples the centre and propose an adaptive transform that samples evenly. Park et al. (2007) demonstrate near-lossless interconversion through optimally fitted expansions, and Lee et al. (2024) reduce directional sampling variance with a discrete polar scheme.</w:t>
      </w:r>
    </w:p>
    <w:p w14:paraId="7AE18581" w14:textId="08C0A24B" w:rsidR="003F288B" w:rsidRDefault="002B3BB1" w:rsidP="00860677">
      <w:pPr>
        <w:rPr>
          <w:rFonts w:ascii="Aptos" w:hAnsi="Aptos"/>
        </w:rPr>
      </w:pPr>
      <w:r>
        <w:rPr>
          <w:rFonts w:ascii="Aptos" w:hAnsi="Aptos"/>
        </w:rPr>
        <w:t>Interpolation strategy trades image quality against computational cost. Nearest-neighbour interpolation is the least demanding but produces aliasing; bilinear interpolation yields smoother results at higher cost; angular under-sampling at large radius is the principal error source in polar mapping (Matungka et al., 2009). Alakuijala et al. (1992) state that explicit coordinate-system transformation simplifies subsequent processing, supporting a pre-computed lookup approach. A fixed pixel-to-LED mapping table for a given geometry allows the transformation to be computed once, reducing rotation-time processing to lightweight buffer playback.</w:t>
      </w:r>
    </w:p>
    <w:p w14:paraId="761D23D3" w14:textId="77777777" w:rsidR="00860677" w:rsidRDefault="00860677" w:rsidP="00860677"/>
    <w:p w14:paraId="34F64DC7" w14:textId="77777777" w:rsidR="003F288B" w:rsidRDefault="003F288B" w:rsidP="0061077C">
      <w:pPr>
        <w:pStyle w:val="Heading2"/>
      </w:pPr>
    </w:p>
    <w:p w14:paraId="38651E01" w14:textId="77777777" w:rsidR="00B6037D" w:rsidRPr="00B6037D" w:rsidRDefault="00B6037D" w:rsidP="00B6037D"/>
    <w:p w14:paraId="3EC8BAEA" w14:textId="77777777" w:rsidR="003B0332" w:rsidRDefault="003B0332" w:rsidP="003B0332"/>
    <w:p w14:paraId="4EB23498" w14:textId="77777777" w:rsidR="003B0332" w:rsidRDefault="003B0332" w:rsidP="003B0332"/>
    <w:p w14:paraId="105015A9" w14:textId="77777777" w:rsidR="003B0332" w:rsidRDefault="003B0332" w:rsidP="003B0332"/>
    <w:p w14:paraId="38353150" w14:textId="77777777" w:rsidR="003B0332" w:rsidRDefault="003B0332" w:rsidP="003B0332"/>
    <w:p w14:paraId="157FCDE8" w14:textId="77777777" w:rsidR="003B0332" w:rsidRDefault="003B0332" w:rsidP="003B0332"/>
    <w:p w14:paraId="397D6937" w14:textId="77777777" w:rsidR="003B0332" w:rsidRDefault="003B0332" w:rsidP="003B0332"/>
    <w:p w14:paraId="3D2932C0" w14:textId="459A2133" w:rsidR="00532125" w:rsidRDefault="00532125" w:rsidP="003B0332"/>
    <w:sectPr w:rsidR="0053212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48C1" w14:textId="77777777" w:rsidR="00A55337" w:rsidRDefault="00A55337" w:rsidP="00554AC6">
      <w:pPr>
        <w:spacing w:after="0" w:line="240" w:lineRule="auto"/>
      </w:pPr>
      <w:r>
        <w:separator/>
      </w:r>
    </w:p>
  </w:endnote>
  <w:endnote w:type="continuationSeparator" w:id="0">
    <w:p w14:paraId="2DD310B6" w14:textId="77777777" w:rsidR="00A55337" w:rsidRDefault="00A55337" w:rsidP="0055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6CA9" w14:textId="77777777" w:rsidR="00554AC6" w:rsidRDefault="00554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168F" w14:textId="77777777" w:rsidR="00554AC6" w:rsidRDefault="00554A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F44D" w14:textId="77777777" w:rsidR="00554AC6" w:rsidRDefault="00554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20D9" w14:textId="77777777" w:rsidR="00A55337" w:rsidRDefault="00A55337" w:rsidP="00554AC6">
      <w:pPr>
        <w:spacing w:after="0" w:line="240" w:lineRule="auto"/>
      </w:pPr>
      <w:r>
        <w:separator/>
      </w:r>
    </w:p>
  </w:footnote>
  <w:footnote w:type="continuationSeparator" w:id="0">
    <w:p w14:paraId="48D63A59" w14:textId="77777777" w:rsidR="00A55337" w:rsidRDefault="00A55337" w:rsidP="00554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3214" w14:textId="77777777" w:rsidR="00554AC6" w:rsidRDefault="00554A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E7E7" w14:textId="77777777" w:rsidR="00554AC6" w:rsidRDefault="00554A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F208" w14:textId="77777777" w:rsidR="00554AC6" w:rsidRDefault="00554A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173"/>
    <w:rsid w:val="00025670"/>
    <w:rsid w:val="000D0CDF"/>
    <w:rsid w:val="00142EF1"/>
    <w:rsid w:val="0019537F"/>
    <w:rsid w:val="00224D0E"/>
    <w:rsid w:val="00296D62"/>
    <w:rsid w:val="002B3972"/>
    <w:rsid w:val="002B3BB1"/>
    <w:rsid w:val="002C63BF"/>
    <w:rsid w:val="003B0332"/>
    <w:rsid w:val="003B4689"/>
    <w:rsid w:val="003E658A"/>
    <w:rsid w:val="003F288B"/>
    <w:rsid w:val="00410816"/>
    <w:rsid w:val="00416CC6"/>
    <w:rsid w:val="00421EE4"/>
    <w:rsid w:val="00430CCB"/>
    <w:rsid w:val="0043637B"/>
    <w:rsid w:val="0044365E"/>
    <w:rsid w:val="00476F37"/>
    <w:rsid w:val="00494DBA"/>
    <w:rsid w:val="004A2C67"/>
    <w:rsid w:val="004D287A"/>
    <w:rsid w:val="00512CEA"/>
    <w:rsid w:val="00532125"/>
    <w:rsid w:val="00537C63"/>
    <w:rsid w:val="0055477A"/>
    <w:rsid w:val="00554AC6"/>
    <w:rsid w:val="0061077C"/>
    <w:rsid w:val="006261E7"/>
    <w:rsid w:val="00642735"/>
    <w:rsid w:val="006D41C4"/>
    <w:rsid w:val="006F6173"/>
    <w:rsid w:val="00705803"/>
    <w:rsid w:val="007A67E6"/>
    <w:rsid w:val="007E46A9"/>
    <w:rsid w:val="008107A0"/>
    <w:rsid w:val="00814331"/>
    <w:rsid w:val="00832A30"/>
    <w:rsid w:val="00855005"/>
    <w:rsid w:val="00860677"/>
    <w:rsid w:val="0089091D"/>
    <w:rsid w:val="009C2A5D"/>
    <w:rsid w:val="00A1020A"/>
    <w:rsid w:val="00A15B49"/>
    <w:rsid w:val="00A444F7"/>
    <w:rsid w:val="00A55337"/>
    <w:rsid w:val="00AA1FC1"/>
    <w:rsid w:val="00B6037D"/>
    <w:rsid w:val="00B81F99"/>
    <w:rsid w:val="00BF119F"/>
    <w:rsid w:val="00C221BD"/>
    <w:rsid w:val="00C8031F"/>
    <w:rsid w:val="00D00354"/>
    <w:rsid w:val="00D526E2"/>
    <w:rsid w:val="00DE2B2B"/>
    <w:rsid w:val="00F15007"/>
    <w:rsid w:val="00F62010"/>
    <w:rsid w:val="00F644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4EA05D5"/>
  <w15:chartTrackingRefBased/>
  <w15:docId w15:val="{EF1F5AE1-BB40-F84D-A744-02EF8316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B2B"/>
    <w:pPr>
      <w:jc w:val="both"/>
    </w:pPr>
    <w:rPr>
      <w:lang w:val="en-GB"/>
    </w:rPr>
  </w:style>
  <w:style w:type="paragraph" w:styleId="Heading1">
    <w:name w:val="heading 1"/>
    <w:basedOn w:val="Normal"/>
    <w:next w:val="Normal"/>
    <w:link w:val="Heading1Char"/>
    <w:uiPriority w:val="9"/>
    <w:qFormat/>
    <w:rsid w:val="006F6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17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6F617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F617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F617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F617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F617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617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617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617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6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17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6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17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6173"/>
    <w:pPr>
      <w:spacing w:before="160"/>
      <w:jc w:val="center"/>
    </w:pPr>
    <w:rPr>
      <w:i/>
      <w:iCs/>
      <w:color w:val="404040" w:themeColor="text1" w:themeTint="BF"/>
    </w:rPr>
  </w:style>
  <w:style w:type="character" w:customStyle="1" w:styleId="QuoteChar">
    <w:name w:val="Quote Char"/>
    <w:basedOn w:val="DefaultParagraphFont"/>
    <w:link w:val="Quote"/>
    <w:uiPriority w:val="29"/>
    <w:rsid w:val="006F6173"/>
    <w:rPr>
      <w:i/>
      <w:iCs/>
      <w:color w:val="404040" w:themeColor="text1" w:themeTint="BF"/>
      <w:lang w:val="en-GB"/>
    </w:rPr>
  </w:style>
  <w:style w:type="paragraph" w:styleId="ListParagraph">
    <w:name w:val="List Paragraph"/>
    <w:basedOn w:val="Normal"/>
    <w:uiPriority w:val="34"/>
    <w:qFormat/>
    <w:rsid w:val="006F6173"/>
    <w:pPr>
      <w:ind w:left="720"/>
      <w:contextualSpacing/>
    </w:pPr>
  </w:style>
  <w:style w:type="character" w:styleId="IntenseEmphasis">
    <w:name w:val="Intense Emphasis"/>
    <w:basedOn w:val="DefaultParagraphFont"/>
    <w:uiPriority w:val="21"/>
    <w:qFormat/>
    <w:rsid w:val="006F6173"/>
    <w:rPr>
      <w:i/>
      <w:iCs/>
      <w:color w:val="0F4761" w:themeColor="accent1" w:themeShade="BF"/>
    </w:rPr>
  </w:style>
  <w:style w:type="paragraph" w:styleId="IntenseQuote">
    <w:name w:val="Intense Quote"/>
    <w:basedOn w:val="Normal"/>
    <w:next w:val="Normal"/>
    <w:link w:val="IntenseQuoteChar"/>
    <w:uiPriority w:val="30"/>
    <w:qFormat/>
    <w:rsid w:val="006F6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173"/>
    <w:rPr>
      <w:i/>
      <w:iCs/>
      <w:color w:val="0F4761" w:themeColor="accent1" w:themeShade="BF"/>
      <w:lang w:val="en-GB"/>
    </w:rPr>
  </w:style>
  <w:style w:type="character" w:styleId="IntenseReference">
    <w:name w:val="Intense Reference"/>
    <w:basedOn w:val="DefaultParagraphFont"/>
    <w:uiPriority w:val="32"/>
    <w:qFormat/>
    <w:rsid w:val="006F6173"/>
    <w:rPr>
      <w:b/>
      <w:bCs/>
      <w:smallCaps/>
      <w:color w:val="0F4761" w:themeColor="accent1" w:themeShade="BF"/>
      <w:spacing w:val="5"/>
    </w:rPr>
  </w:style>
  <w:style w:type="paragraph" w:styleId="Header">
    <w:name w:val="header"/>
    <w:basedOn w:val="Normal"/>
    <w:link w:val="HeaderChar"/>
    <w:uiPriority w:val="99"/>
    <w:unhideWhenUsed/>
    <w:rsid w:val="00554A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AC6"/>
    <w:rPr>
      <w:lang w:val="en-GB"/>
    </w:rPr>
  </w:style>
  <w:style w:type="paragraph" w:styleId="Footer">
    <w:name w:val="footer"/>
    <w:basedOn w:val="Normal"/>
    <w:link w:val="FooterChar"/>
    <w:uiPriority w:val="99"/>
    <w:unhideWhenUsed/>
    <w:rsid w:val="00554A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AC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9F4B30-419F-F94C-9B20-45503BA55BA2}">
  <we:reference id="wa200010453" version="1.0.0.1" store="en-US" storeType="OMEX"/>
  <we:alternateReferences>
    <we:reference id="WA200010453" version="1.0.0.1" store="" storeType="OMEX"/>
  </we:alternateReferences>
  <we:properties>
    <we:property name="claude.fileId" value="&quot;34f6ec71-a09b-4435-b92c-16fad44edf1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145</TotalTime>
  <Pages>7</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Teagan Reddy</dc:creator>
  <cp:keywords/>
  <dc:description/>
  <cp:lastModifiedBy>Teagan Reddy</cp:lastModifiedBy>
  <cp:revision>34</cp:revision>
  <dcterms:created xsi:type="dcterms:W3CDTF">2026-04-08T17:58:00Z</dcterms:created>
  <dcterms:modified xsi:type="dcterms:W3CDTF">2026-06-25T00:22:00Z</dcterms:modified>
</cp:coreProperties>
</file>