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1 Summary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rPr>
          <w:trHeight w:val="4320"/>
        </w:trPr>
        <w:tc>
          <w:tcPr>
            <w:tcW w:type="dxa" w:w="10800"/>
          </w:tcPr>
          <w:p>
            <w:r>
              <w:t>Scientific notation</w:t>
            </w:r>
          </w:p>
        </w:tc>
      </w:tr>
      <w:tr>
        <w:trPr>
          <w:trHeight w:val="4320"/>
        </w:trPr>
        <w:tc>
          <w:tcPr>
            <w:tcW w:type="dxa" w:w="10800"/>
          </w:tcPr>
          <w:p>
            <w:r>
              <w:t>Light-year</w:t>
            </w:r>
          </w:p>
        </w:tc>
      </w:tr>
      <w:tr>
        <w:trPr>
          <w:trHeight w:val="4320"/>
        </w:trPr>
        <w:tc>
          <w:tcPr>
            <w:tcW w:type="dxa" w:w="10800"/>
          </w:tcPr>
          <w:p>
            <w:r>
              <w:t>Parallax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rPr>
          <w:trHeight w:val="4512"/>
        </w:trPr>
        <w:tc>
          <w:tcPr>
            <w:tcW w:type="dxa" w:w="10800"/>
          </w:tcPr>
          <w:p>
            <w:r>
              <w:t>The celestial sphere</w:t>
            </w:r>
          </w:p>
        </w:tc>
      </w:tr>
      <w:tr>
        <w:trPr>
          <w:trHeight w:val="4512"/>
        </w:trPr>
        <w:tc>
          <w:tcPr>
            <w:tcW w:type="dxa" w:w="10800"/>
          </w:tcPr>
          <w:p>
            <w:r>
              <w:t>Flux, luminosity and the inverse square law</w:t>
            </w:r>
          </w:p>
        </w:tc>
      </w:tr>
      <w:tr>
        <w:trPr>
          <w:trHeight w:val="4512"/>
        </w:trPr>
        <w:tc>
          <w:tcPr>
            <w:tcW w:type="dxa" w:w="10800"/>
          </w:tcPr>
          <w:p>
            <w:r>
              <w:t>Apparent magnitude, absolute magnitude, and the distance modulus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rPr>
          <w:trHeight w:val="4512"/>
        </w:trPr>
        <w:tc>
          <w:tcPr>
            <w:tcW w:type="dxa" w:w="10800"/>
          </w:tcPr>
          <w:p>
            <w:r/>
          </w:p>
        </w:tc>
      </w:tr>
      <w:tr>
        <w:trPr>
          <w:trHeight w:val="4512"/>
        </w:trPr>
        <w:tc>
          <w:tcPr>
            <w:tcW w:type="dxa" w:w="10800"/>
          </w:tcPr>
          <w:p>
            <w:r/>
          </w:p>
        </w:tc>
      </w:tr>
      <w:tr>
        <w:trPr>
          <w:trHeight w:val="4512"/>
        </w:trPr>
        <w:tc>
          <w:tcPr>
            <w:tcW w:type="dxa" w:w="10800"/>
          </w:tcPr>
          <w:p>
            <w:r/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rPr>
          <w:trHeight w:val="4512"/>
        </w:trPr>
        <w:tc>
          <w:tcPr>
            <w:tcW w:type="dxa" w:w="10800"/>
          </w:tcPr>
          <w:p>
            <w:r/>
          </w:p>
        </w:tc>
      </w:tr>
      <w:tr>
        <w:trPr>
          <w:trHeight w:val="4512"/>
        </w:trPr>
        <w:tc>
          <w:tcPr>
            <w:tcW w:type="dxa" w:w="10800"/>
          </w:tcPr>
          <w:p>
            <w:r/>
          </w:p>
        </w:tc>
      </w:tr>
      <w:tr>
        <w:trPr>
          <w:trHeight w:val="4512"/>
        </w:trPr>
        <w:tc>
          <w:tcPr>
            <w:tcW w:type="dxa" w:w="10800"/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