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Areas of interest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Personalization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Discovery: tracking, analysis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Deliver: Ad, internet marketing, in-web/in-app experience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Big question - why return on mobile ad is not proportional to the time spent on the device?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Peeling the onions, identifying concrete/solvable issues to move needle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Mobile Ad challenges 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Read 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http://www.adexchanger.com/data-driven-thinking/why-marketers-struggle-with-cross-platform-programmatic/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http://www.aadrake.com/what-mobile-advertising-needs.html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https://medium.com/@ameet/why-mobile-roi-is-so-hard-bf2f24d87503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Deep link into mobile apps, platform specifics (current state, future direction)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Helping kids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Identifying pain, inefficiency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Education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Payment platform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Cross board, China 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Next steps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Increase awareness - Look for problems to solve. Identify pain/inefficiency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Github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Research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Understand domain of Ad, marketing, paid search, natural search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Understand how google, facebook personalization works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Understand Mediaplex, Ad-x small companies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Look up meetups, forums, blogs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Network: linkedin, meet friends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aadrake.com/what-mobile-advertising-needs.html" Type="http://schemas.openxmlformats.org/officeDocument/2006/relationships/hyperlink" TargetMode="External" Id="rId6"/><Relationship Target="http://www.adexchanger.com/data-driven-thinking/why-marketers-struggle-with-cross-platform-programmatic/" Type="http://schemas.openxmlformats.org/officeDocument/2006/relationships/hyperlink" TargetMode="External" Id="rId5"/><Relationship Target="https://medium.com/@ameet/why-mobile-roi-is-so-hard-bf2f24d87503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 board.docx</dc:title>
</cp:coreProperties>
</file>