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GP 平滑盈亏评分专业审阅报告</w:t>
      </w:r>
    </w:p>
    <w:p>
      <w:pPr>
        <w:pStyle w:val="Subtitle"/>
        <w:snapToGrid w:val="0"/>
      </w:pPr>
      <w:r>
        <w:t>供量化研究与统计专业人士审阅  2026年9月18日</w:t>
      </w:r>
    </w:p>
    <w:p>
      <w:pPr>
        <w:snapToGrid w:val="0"/>
      </w:pPr>
      <w:r>
        <w:rPr>
          <w:b w:val="0"/>
        </w:rPr>
        <w:t>编制说明：由 GP 项目使用者委托 AI 工程助手，根据生产代码、冻结配置、本地计划和已保存的验证结果整理。本文是技术评审材料，不是独立审计结论或投资建议。</w:t>
      </w:r>
    </w:p>
    <w:p>
      <w:pPr>
        <w:pStyle w:val="Heading1"/>
        <w:snapToGrid w:val="0"/>
      </w:pPr>
      <w:r>
        <w:t>一 审阅目的与当前结论</w:t>
      </w:r>
    </w:p>
    <w:p>
      <w:pPr>
        <w:snapToGrid w:val="0"/>
      </w:pPr>
      <w:r>
        <w:rPr>
          <w:b w:val="0"/>
        </w:rPr>
        <w:t>请评估该评分能否作为 A 股短期候选的相对比较工具，尤其判断统计含义、证据支持量和平滑参数是否合理。用户关注的是新发布分数集中在 55 分附近，前三名差距不足半分，以及历史最高分尚不明确。</w:t>
      </w:r>
    </w:p>
    <w:p>
      <w:pPr>
        <w:snapToGrid w:val="0"/>
      </w:pPr>
      <w:r>
        <w:rPr>
          <w:b/>
        </w:rPr>
        <w:t>已证实：当前 198 个候选得分为 33.41–55.62，前三名为 55.62、55.35、55.18。生产参数可以复算这些结果；现有证据不支持把低分直接归因于计算错误。尚未证实：这些分数能否稳定区分未来收益、细小名次差是否有统计意义，以及全历史最高分。</w:t>
      </w:r>
    </w:p>
    <w:p>
      <w:pPr>
        <w:pStyle w:val="Heading1"/>
        <w:snapToGrid w:val="0"/>
      </w:pPr>
      <w:r>
        <w:t>二 系统范围与收益口径</w:t>
      </w:r>
    </w:p>
    <w:p>
      <w:pPr>
        <w:snapToGrid w:val="0"/>
      </w:pPr>
      <w:r>
        <w:rPr>
          <w:b w:val="0"/>
        </w:rPr>
        <w:t>GP 面向 A 股主板，生成 1–3 个交易日的观察与交易计划。沿用既有候选池和相似成熟案例检索，按基础分冻结 Top 30，再最多选出 3 个优先观察对象。当前完整市场范围为 3052，符合范围约束的数量为 3044，实际进入评分为 198；三者不是同一分母。LLM 只解释，不负责选股或算分。</w:t>
      </w:r>
    </w:p>
    <w:p>
      <w:pPr>
        <w:snapToGrid w:val="0"/>
      </w:pPr>
      <w:r>
        <w:rPr>
          <w:b w:val="0"/>
        </w:rPr>
        <w:t>案例收益 rⱼ 沿用信号日收盘至之后第三个交易日收盘的收益标签，T+5 成熟后才可读取；同时受首次出现时间、知识截止时间和维护批次完成时间约束。该标签不是按计划入场区间实际成交的收益，当前未验证两种口径的等价性。</w:t>
      </w:r>
    </w:p>
    <w:p>
      <w:pPr>
        <w:pStyle w:val="Heading1"/>
        <w:snapToGrid w:val="0"/>
      </w:pPr>
      <w:r>
        <w:t>三 唯一基础公式</w:t>
      </w:r>
    </w:p>
    <w:p>
      <w:pPr>
        <w:snapToGrid w:val="0"/>
      </w:pPr>
      <w:r>
        <w:rPr>
          <w:b w:val="0"/>
        </w:rPr>
        <w:t>逐案例扣除既有成本：xⱼ = rⱼ − cⱼ。先按 event_id 去重，以相似度 sⱼ 归一化得到权重 wⱼ。</w:t>
      </w:r>
    </w:p>
    <w:p>
      <w:pPr>
        <w:spacing w:line="240" w:lineRule="auto" w:before="80" w:after="160"/>
        <w:jc w:val="center"/>
        <w:snapToGrid w:val="0"/>
      </w:pPr>
      <m:oMath>
        <m:r>
          <m:t>wⱼ = </m:t>
        </m:r>
        <m:f>
          <m:num>
            <m:r>
              <m:t>sⱼ</m:t>
            </m:r>
          </m:num>
          <m:den>
            <m:r>
              <m:t>Σₖ sₖ</m:t>
            </m:r>
          </m:den>
        </m:f>
      </m:oMath>
    </w:p>
    <w:p>
      <w:pPr>
        <w:snapToGrid w:val="0"/>
      </w:pPr>
      <w:r>
        <w:rPr>
          <w:b w:val="0"/>
        </w:rPr>
        <w:t>G = Σⱼ wⱼ max(xⱼ, 0)；L = Σⱼ wⱼ max(−xⱼ, 0)。G 与 L 是包含频率和幅度的无条件贡献，不能再乘上涨概率。按信号日合并权重 W_d = Σⱼ∈d wⱼ。</w:t>
      </w:r>
    </w:p>
    <w:p>
      <w:pPr>
        <w:spacing w:line="240" w:lineRule="auto" w:before="80" w:after="160"/>
        <w:jc w:val="center"/>
        <w:snapToGrid w:val="0"/>
      </w:pPr>
      <m:oMath>
        <m:r>
          <m:t>N = </m:t>
        </m:r>
        <m:f>
          <m:num>
            <m:r>
              <m:t>1</m:t>
            </m:r>
          </m:num>
          <m:den>
            <m:r>
              <m:t>Σ </m:t>
            </m:r>
            <m:sSup>
              <m:e>
                <m:sSub>
                  <m:e>
                    <m:r>
                      <m:t>W</m:t>
                    </m:r>
                  </m:e>
                  <m:sub>
                    <m:r>
                      <m:t>d</m:t>
                    </m:r>
                  </m:sub>
                </m:sSub>
              </m:e>
              <m:sup>
                <m:r>
                  <m:t>2</m:t>
                </m:r>
              </m:sup>
            </m:sSup>
          </m:den>
        </m:f>
        <m:r>
          <m:t> × mean(sⱼ)</m:t>
        </m:r>
      </m:oMath>
    </w:p>
    <w:p>
      <w:pPr>
        <w:spacing w:line="240" w:lineRule="auto" w:before="80" w:after="160"/>
        <w:jc w:val="center"/>
        <w:snapToGrid w:val="0"/>
      </w:pPr>
      <m:oMath>
        <m:r>
          <m:t>S = </m:t>
        </m:r>
        <m:f>
          <m:num>
            <m:r>
              <m:t>N G + 0.5 n₀ A₀</m:t>
            </m:r>
          </m:num>
          <m:den>
            <m:r>
              <m:t>N (G + L) + n₀ A₀</m:t>
            </m:r>
          </m:den>
        </m:f>
      </m:oMath>
    </w:p>
    <w:p>
      <w:pPr>
        <w:snapToGrid w:val="0"/>
      </w:pPr>
      <w:r>
        <w:rPr>
          <w:b w:val="0"/>
        </w:rPr>
        <w:t>内部 S 为 0–1，展示为 100S；预计净收益为 G−L，不再扣一次成本。N 仅称为评分支持量，不宣称为概率或严格独立样本数。G、L、A₀、收益和成本全部使用小数收益率。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四 生产参数及评分的数学含义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710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0" w:line="269" w:lineRule="auto"/>
              <w:jc w:val="left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当前取值与口径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政策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daily_score_v6_smoothed_gain_loss  日线生产器版本 5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单案例成本 cⱼ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0.003 即 0.30%  沿用现有模型成本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平滑强度 n₀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20  初始政策值  未经最优性验证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共同参考 A₀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0.03997941946323374  约 3.99794%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参考池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4000 案例  2145 股票  155 个信号日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时间范围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信号 2026年1月21日至9月9日</w:t>
              <w:br/>
              <w:t>成熟日期 1月28日至9月16日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冻结时间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2026年9月18日 15:40:07 上海时间</w:t>
            </w:r>
          </w:p>
        </w:tc>
      </w:tr>
    </w:tbl>
    <w:p>
      <w:pPr>
        <w:spacing w:after="0"/>
        <w:snapToGrid w:val="0"/>
      </w:pPr>
    </w:p>
    <w:p>
      <w:pPr>
        <w:snapToGrid w:val="0"/>
      </w:pPr>
      <w:r>
        <w:rPr>
          <w:b w:val="0"/>
        </w:rPr>
        <w:t>A₀ 为共同参考池 abs(rⱼ−0.003) 的算术均值。参考池使用现有按日期交错取样机制，最近最多 250 个信号日、最多 4000 案例；统计时实际覆盖 155 日。案例均在 9 月 17 日证据边界内成熟，且在当日 23:01:39.040592 的知识截止时间前可用。所有候选使用同一个冻结值，不按当天最高最低分调整。</w:t>
      </w:r>
    </w:p>
    <w:p>
      <w:pPr>
        <w:snapToGrid w:val="0"/>
      </w:pPr>
      <w:r>
        <w:rPr>
          <w:b w:val="0"/>
        </w:rPr>
        <w:t>对 G+L&gt;0，令 q=G/(G+L)，评分可等价写为下式。这里 q 是盈利贡献占绝对净收益贡献的比例，不是上涨概率。</w:t>
      </w:r>
    </w:p>
    <w:p>
      <w:pPr>
        <w:spacing w:line="240" w:lineRule="auto" w:before="80" w:after="160"/>
        <w:jc w:val="center"/>
        <w:snapToGrid w:val="0"/>
      </w:pPr>
      <m:oMath>
        <m:r>
          <m:t>λ = </m:t>
        </m:r>
        <m:f>
          <m:num>
            <m:r>
              <m:t>N (G + L)</m:t>
            </m:r>
          </m:num>
          <m:den>
            <m:r>
              <m:t>N (G + L) + n₀ A₀</m:t>
            </m:r>
          </m:den>
        </m:f>
      </m:oMath>
    </w:p>
    <w:p>
      <w:pPr>
        <w:snapToGrid w:val="0"/>
      </w:pPr>
      <w:r>
        <w:rPr>
          <w:b w:val="0"/>
        </w:rPr>
        <w:t>S = 0.5 + λ(q − 0.5)。因此 50 分代表平滑后的盈亏贡献平衡；证据变少时，好坏两个方向都向 50 收缩。有效 G=L，包括全部净收益真实为零，基础分为 50。空案例、缺失收益、非法日期、非有限数或无效参数会明确失败，不能当作正常 50 分。</w:t>
      </w:r>
    </w:p>
    <w:p>
      <w:pPr>
        <w:snapToGrid w:val="0"/>
      </w:pPr>
      <w:r>
        <w:rPr>
          <w:b w:val="0"/>
        </w:rPr>
        <w:t>现行公式没有 60 分上限。基础分在有限正常输入下小于 100 分，可趋近 100；公告叠加后总分截断在 0–100。若固定 N=30、使用当前 A₀ 与 n₀，并假设全部净收益均为正，则达到约 80 分需要 G≈4.00%，达到约 90 分需要 G≈10.66%。这是数学情景，不是历史观察。</w:t>
      </w:r>
    </w:p>
    <w:p>
      <w:pPr>
        <w:pStyle w:val="Heading2"/>
        <w:snapToGrid w:val="0"/>
      </w:pPr>
      <w:r>
        <w:t>公告和午盘的处理</w:t>
      </w:r>
    </w:p>
    <w:p>
      <w:pPr>
        <w:snapToGrid w:val="0"/>
      </w:pPr>
      <w:r>
        <w:rPr>
          <w:b w:val="0"/>
        </w:rPr>
        <w:t>最终分 S_final = clip(S + 0.03α, 0, 1)。只有精确匹配且完整的冻结 Top 30 公告批次才能生效，最多加减 3 分，仅加一次；不改写收益和概率。当前批次完整，但相关贡献均为零。午盘技术指标只作为附加观察，保留原分数与已有公告贡献。</w:t>
      </w:r>
    </w:p>
    <w:p>
      <w:pPr>
        <w:snapToGrid w:val="0"/>
      </w:pPr>
      <w:r>
        <w:rPr>
          <w:b w:val="0"/>
        </w:rPr>
        <w:t>已移除原有人工加权式中的概率、执行质量、置信度固定加分和回撤概率扣分。低分档位与非正净收益不再机械截断观察资格，但数据、交易状态限制继续生效，负净收益风险仍保留。观察排名不等于正优势或允许入场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五 当前发布计划的实测结果</w:t>
      </w:r>
    </w:p>
    <w:p>
      <w:pPr>
        <w:snapToGrid w:val="0"/>
      </w:pPr>
      <w:r>
        <w:rPr>
          <w:b w:val="0"/>
        </w:rPr>
        <w:t>计划交易日为 2026年9月21日，证据日为 9月18日。下表来自当前计划的全部 198 个评分对象，而非仅前三名。198 个基础分已调用现行生产评分函数逐项核对。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0" w:line="269" w:lineRule="auto"/>
              <w:jc w:val="left"/>
            </w:pPr>
            <w:r>
              <w:rPr>
                <w:b/>
                <w:sz w:val="18"/>
              </w:rPr>
              <w:t>统计量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总分 百分制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最低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33.41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P10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40.41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P25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42.73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中位数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45.91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P75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49.65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P90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52.83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最高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55.62</w:t>
            </w:r>
          </w:p>
        </w:tc>
      </w:tr>
    </w:tbl>
    <w:p>
      <w:pPr>
        <w:spacing w:after="0"/>
        <w:snapToGrid w:val="0"/>
      </w:pPr>
    </w:p>
    <w:p>
      <w:pPr>
        <w:snapToGrid w:val="0"/>
      </w:pPr>
      <w:r>
        <w:rPr>
          <w:b w:val="0"/>
        </w:rPr>
        <w:t>46 个候选基础分高于 50，152 个低于 50。支持量 N 的最小值、中位数、最大值分别为 20.13、29.46、39.01。整个候选池跨度约 22.21 分，前三名只差 0.44 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701"/>
        <w:gridCol w:w="1701"/>
        <w:gridCol w:w="1474"/>
        <w:gridCol w:w="1701"/>
        <w:gridCol w:w="1757"/>
      </w:tblGrid>
      <w:tr>
        <w:trPr>
          <w:cantSplit/>
          <w:tblHeader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0" w:line="269" w:lineRule="auto"/>
              <w:jc w:val="left"/>
            </w:pPr>
            <w:r>
              <w:rPr>
                <w:b/>
                <w:sz w:val="18"/>
              </w:rPr>
              <w:t>代码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G 小数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L 小数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N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100q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总分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000993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0.049870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0.037040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29.379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57.38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55.62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002428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0.023271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0.016071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28.589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59.15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55.35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002851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0.023717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0.016528</w:t>
            </w:r>
          </w:p>
        </w:tc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27.388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58.93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55.18</w:t>
            </w:r>
          </w:p>
        </w:tc>
      </w:tr>
    </w:tbl>
    <w:p>
      <w:pPr>
        <w:spacing w:after="0"/>
        <w:snapToGrid w:val="0"/>
      </w:pPr>
    </w:p>
    <w:p>
      <w:pPr>
        <w:snapToGrid w:val="0"/>
      </w:pPr>
      <w:r>
        <w:rPr>
          <w:b w:val="0"/>
        </w:rPr>
        <w:t>G、L 为归一化加权贡献，不是“盈利案例平均涨幅”和“亏损案例平均跌幅”。前三名的 λ 分别约为 76.15%、58.45%、57.96%。即使完全取消平滑，它们的原始比例也只有 57.38、59.15、58.93 分；当前案例中的盈亏贡献优势本身有限。</w:t>
      </w:r>
    </w:p>
    <w:p>
      <w:pPr>
        <w:snapToGrid w:val="0"/>
      </w:pPr>
      <w:r>
        <w:rPr>
          <w:b w:val="0"/>
        </w:rPr>
        <w:t>值得请专家判断：000993 的原始比例低于后两只，却因 N(G+L) 更大、收缩较少而排名更高。这是公式的确定性结果，尚不能据此认定这种排序偏好适合实际目标。</w:t>
      </w:r>
    </w:p>
    <w:p>
      <w:pPr>
        <w:pStyle w:val="Heading1"/>
        <w:snapToGrid w:val="0"/>
      </w:pPr>
      <w:r>
        <w:t>六 历史对照与最高分的已知范围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1361"/>
        <w:gridCol w:w="1701"/>
        <w:gridCol w:w="1701"/>
      </w:tblGrid>
      <w:tr>
        <w:trPr>
          <w:cantSplit/>
          <w:tblHeader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0" w:line="269" w:lineRule="auto"/>
              <w:jc w:val="left"/>
            </w:pPr>
            <w:r>
              <w:rPr>
                <w:b/>
                <w:sz w:val="18"/>
              </w:rPr>
              <w:t>范围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最高分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18"/>
              </w:rPr>
              <w:t>对应代码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9月17日冻结输入按现政策对照重算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199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56.2011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002815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69" w:lineRule="auto"/>
              <w:jc w:val="left"/>
            </w:pPr>
            <w:r>
              <w:rPr>
                <w:b w:val="0"/>
                <w:sz w:val="18"/>
              </w:rPr>
              <w:t>9月18日证据的正式新政策计划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198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55.6208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8FA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000993</w:t>
            </w:r>
          </w:p>
        </w:tc>
      </w:tr>
    </w:tbl>
    <w:p>
      <w:pPr>
        <w:spacing w:after="0"/>
        <w:snapToGrid w:val="0"/>
      </w:pPr>
    </w:p>
    <w:p>
      <w:pPr>
        <w:snapToGrid w:val="0"/>
      </w:pPr>
      <w:r>
        <w:rPr>
          <w:b w:val="0"/>
        </w:rPr>
        <w:t>第一行使用同一历史价格和成熟案例输入进行反事实比较：旧函数首先复现原计划，再调用新生产路径；新旧两边公告贡献均按零处理，因为 Top 30 已变化，旧批次不能套用。它不是当时实际部署结果，也不是跨日期收益回测。旧公式最大值为 63.3872，新公式为 56.2011；这种差异没有证明谁预测得更好。</w:t>
      </w:r>
    </w:p>
    <w:p>
      <w:pPr>
        <w:snapToGrid w:val="0"/>
      </w:pPr>
      <w:r>
        <w:rPr>
          <w:b w:val="0"/>
        </w:rPr>
        <w:t>本地 83 份计划中只有两份记录了新公式完整参数，且均使用 9月18日证据。旧记录缺少直接复算所需的 G、L、N；不能从平均收益、上涨概率或旧分数反推。因此 56.20 只是当前已核验有限输入中的最高值，全部历史最高值尚未知。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七 重点请专家给出的判断</w:t>
      </w:r>
    </w:p>
    <w:p>
      <w:pPr>
        <w:pStyle w:val="Heading2"/>
        <w:snapToGrid w:val="0"/>
      </w:pPr>
      <w:r>
        <w:t>1 评分目标是否合适</w:t>
      </w:r>
    </w:p>
    <w:p>
      <w:pPr>
        <w:snapToGrid w:val="0"/>
      </w:pPr>
      <w:r>
        <w:rPr>
          <w:b w:val="0"/>
        </w:rPr>
        <w:t>以盈利贡献占比为基础的有界分数，能否服务于短期候选相对比较？应优先对齐预计净收益、下行风险、效用还是其他目标？请明确建议评价的目标量。</w:t>
      </w:r>
    </w:p>
    <w:p>
      <w:pPr>
        <w:pStyle w:val="Heading2"/>
        <w:snapToGrid w:val="0"/>
      </w:pPr>
      <w:r>
        <w:t>2 支持量 N 是否合理</w:t>
      </w:r>
    </w:p>
    <w:p>
      <w:pPr>
        <w:snapToGrid w:val="0"/>
      </w:pPr>
      <w:r>
        <w:rPr>
          <w:b w:val="0"/>
        </w:rPr>
        <w:t>按信号日期聚合后再乘平均相似度，能否充分抑制同日共同冲击？相邻日期的重叠三日收益、同股票和同行业的相关性如何影响支持量？相似度尺度变化会改变 N，是否需要额外校准？</w:t>
      </w:r>
    </w:p>
    <w:p>
      <w:pPr>
        <w:pStyle w:val="Heading2"/>
        <w:snapToGrid w:val="0"/>
      </w:pPr>
      <w:r>
        <w:t>3 平滑强度应如何确定</w:t>
      </w:r>
    </w:p>
    <w:p>
      <w:pPr>
        <w:snapToGrid w:val="0"/>
      </w:pPr>
      <w:r>
        <w:rPr>
          <w:b w:val="0"/>
        </w:rPr>
        <w:t>n₀=20 尚未优化。应怎样用严格时间划分的数据选择或检验它，避免为拉开分数调参？请给出稳定性标准及能够否定现值的证据，而非仅推荐一个更小的数。</w:t>
      </w:r>
    </w:p>
    <w:p>
      <w:pPr>
        <w:pStyle w:val="Heading2"/>
        <w:snapToGrid w:val="0"/>
      </w:pPr>
      <w:r>
        <w:t>4 共同参考池是否代表当前任务</w:t>
      </w:r>
    </w:p>
    <w:p>
      <w:pPr>
        <w:snapToGrid w:val="0"/>
      </w:pPr>
      <w:r>
        <w:rPr>
          <w:b w:val="0"/>
        </w:rPr>
        <w:t>A₀ 的绝对净收益均值可能受极端案例、日期取样和市场状态影响。4000 案例及 155 信号日是否足够？冻结与后续版本更新应采用什么规则，如何避免使用事后信息？</w:t>
      </w:r>
    </w:p>
    <w:p>
      <w:pPr>
        <w:pStyle w:val="Heading2"/>
        <w:snapToGrid w:val="0"/>
      </w:pPr>
      <w:r>
        <w:t>5 绝对波动为何改变收缩</w:t>
      </w:r>
    </w:p>
    <w:p>
      <w:pPr>
        <w:snapToGrid w:val="0"/>
      </w:pPr>
      <w:r>
        <w:rPr>
          <w:b w:val="0"/>
        </w:rPr>
        <w:t>固定 N 和 q 时，G+L 越大，λ 越大、分数离 50 越远。对于 q&gt;0.5 的机会，这会偏向相同比例下绝对幅度更大的分布。该偏好是否合理？它是否把波动幅度当成了证据强度？</w:t>
      </w:r>
    </w:p>
    <w:p>
      <w:pPr>
        <w:pStyle w:val="Heading2"/>
        <w:snapToGrid w:val="0"/>
      </w:pPr>
      <w:r>
        <w:t>6 前三名的差异是否有意义</w:t>
      </w:r>
    </w:p>
    <w:p>
      <w:pPr>
        <w:snapToGrid w:val="0"/>
      </w:pPr>
      <w:r>
        <w:rPr>
          <w:b w:val="0"/>
        </w:rPr>
        <w:t>55.62、55.35、55.18 的差异能否支持稳定名次？应采用按日期或交易事件分组的重采样、区间估计、排名稳定性还是其他方法？目前没有计算分数或名次的不确定区间。</w:t>
      </w:r>
    </w:p>
    <w:p>
      <w:pPr>
        <w:pStyle w:val="Heading2"/>
        <w:snapToGrid w:val="0"/>
      </w:pPr>
      <w:r>
        <w:t>7 检索与收益口径是否限制区分</w:t>
      </w:r>
    </w:p>
    <w:p>
      <w:pPr>
        <w:snapToGrid w:val="0"/>
      </w:pPr>
      <w:r>
        <w:rPr>
          <w:b w:val="0"/>
        </w:rPr>
        <w:t>相似案例可能重合或集中，但本次尚未量化重合率。如何检查跨股票检索同质性？信号收盘到第三日收盘的标签，与计划的可成交入场和退出是否匹配？当前结果不能直接作为实际成交收益。</w:t>
      </w:r>
    </w:p>
    <w:p>
      <w:pPr>
        <w:pStyle w:val="Heading2"/>
        <w:snapToGrid w:val="0"/>
      </w:pPr>
      <w:r>
        <w:t>8 需要何种证据才可用于决策</w:t>
      </w:r>
    </w:p>
    <w:p>
      <w:pPr>
        <w:snapToGrid w:val="0"/>
      </w:pPr>
      <w:r>
        <w:rPr>
          <w:b w:val="0"/>
        </w:rPr>
        <w:t>请提出最小的历史样本、留出验证、成本敏感性及失效标准。请分别评估“供观察排序”和“可据此交易”所需的证据，避免以分数分散或出现高分代替有效性。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八 建议的评审和验证安排</w:t>
      </w:r>
    </w:p>
    <w:p>
      <w:pPr>
        <w:snapToGrid w:val="0"/>
      </w:pPr>
      <w:r>
        <w:rPr>
          <w:b w:val="0"/>
        </w:rPr>
        <w:t>以下是待评审建议，尚未执行，也不预设需要重建预测系统。请专家按重要性筛选，并说明能否在现有数据和候选范围内完成。</w:t>
      </w:r>
    </w:p>
    <w:p>
      <w:pPr>
        <w:pStyle w:val="Heading2"/>
        <w:snapToGrid w:val="0"/>
      </w:pPr>
      <w:r>
        <w:t>先核对定义与可复算性</w:t>
      </w:r>
    </w:p>
    <w:p>
      <w:pPr>
        <w:snapToGrid w:val="0"/>
      </w:pPr>
      <w:r>
        <w:rPr>
          <w:b w:val="0"/>
        </w:rPr>
        <w:t>确认公式与分数含义；核对单位、成本、事件去重和按日支持量；逐项复算真实案例。对当前前三名检查相似案例重合、权重集中和日期分布。实现层已覆盖单调性、好坏双向收缩、成本增加不升分、非法数据处理及公告和午盘约束，但这些测试不能证明预测能力。当前代码验证记录为 181 项后端和 18 项前端测试通过。</w:t>
      </w:r>
    </w:p>
    <w:p>
      <w:pPr>
        <w:pStyle w:val="Heading2"/>
        <w:snapToGrid w:val="0"/>
      </w:pPr>
      <w:r>
        <w:t>再设计按时间推进的历史验证</w:t>
      </w:r>
    </w:p>
    <w:p>
      <w:pPr>
        <w:snapToGrid w:val="0"/>
      </w:pPr>
      <w:r>
        <w:rPr>
          <w:b w:val="0"/>
        </w:rPr>
        <w:t>重建每个历史时点实际可读的候选、案例与公告。必须同时遵守信号日期、三日结果、T+5成熟、首次出现和批次完成边界；缺失当时证据的日期明确排除或单列。候选分母与历史全市场成员的可追溯性需另行确认，不能把今天的股票集合冒充当时完整范围。</w:t>
      </w:r>
    </w:p>
    <w:p>
      <w:pPr>
        <w:snapToGrid w:val="0"/>
      </w:pPr>
      <w:r>
        <w:rPr>
          <w:b w:val="0"/>
        </w:rPr>
        <w:t>现行 A₀ 是 9月18日冻结的：将它套到更早日期只能标为事后政策反事实。若要评估可部署的历史表现，需要预先确定训练或参考期，在评价期开始前冻结参数，再按时间滚动或使用独立留出期，不能直接宣称现参数在早期已可用。</w:t>
      </w:r>
    </w:p>
    <w:p>
      <w:pPr>
        <w:snapToGrid w:val="0"/>
      </w:pPr>
      <w:r>
        <w:rPr>
          <w:b w:val="0"/>
        </w:rPr>
        <w:t>建议考察分数分组后的净收益、尾部亏损、排名稳定性、Top 1及Top 3表现、时间分块置信区间和市场状态敏感性。收益检验应与实际入场规则匹配，并报告成本及可成交性；若只使用现有收盘收益标签，结论须保持该限制。不得在同一留出期反复选择最优参数。</w:t>
      </w:r>
    </w:p>
    <w:p>
      <w:pPr>
        <w:pStyle w:val="Heading1"/>
        <w:snapToGrid w:val="0"/>
      </w:pPr>
      <w:r>
        <w:t>九 请专家返回的意见格式</w:t>
      </w:r>
    </w:p>
    <w:p>
      <w:pPr>
        <w:snapToGrid w:val="0"/>
      </w:pPr>
      <w:r>
        <w:rPr>
          <w:b w:val="0"/>
        </w:rPr>
        <w:t>请给出总体判断：可继续作为观察评分、需修改后再验证，或当前证据不足。逐项区分数学或实现缺陷、建模选择、实证缺口，并标明严重程度与依据。对建议修改，列出影响范围、最低必要实验、通过及失败标准；若保留原公式，也请说明适用条件。</w:t>
      </w:r>
    </w:p>
    <w:p>
      <w:pPr>
        <w:pStyle w:val="Heading1"/>
        <w:snapToGrid w:val="0"/>
      </w:pPr>
      <w:r>
        <w:t>十 复算依据与材料索引</w:t>
      </w:r>
    </w:p>
    <w:p>
      <w:pPr>
        <w:snapToGrid w:val="0"/>
      </w:pPr>
      <w:r>
        <w:rPr>
          <w:b w:val="0"/>
        </w:rPr>
        <w:t>生产政策与公式：configs/daily_scoring.json；src/gp_assistant/decision_engine/scoring.py。G、L、N 的生产计算：src/gp_assistant/probability_engine/engine.py。现行契约与核验记录：docs/contracts/CURRENT_CONTRACTS.md；docs/smoothed_scoring_20260918.md。源码基线为 main 239616a，评分政策为 v6；报告未修改代码、参数、生产数据或已发布计划。</w:t>
      </w:r>
    </w:p>
    <w:p>
      <w:pPr>
        <w:snapToGrid w:val="0"/>
      </w:pPr>
      <w:r>
        <w:rPr>
          <w:b w:val="0"/>
        </w:rPr>
        <w:t>当前审阅计划：plan_6a0356d6bf8bca0d1c24fa9e。当前发布记录：publication_1401dafd1e1a0d2357320188。本次只读抽查记录保存在本机 gp-expert-report-facts.json；9月17日冻结输入及对照结果分别为 gp-smoothed-score-audit-20260918.json 和 gp-smoothed-score-comparison-20260918.json。上述底层文件未随本报告自动发送，进一步复核时可由项目方另行提供。</w:t>
      </w:r>
    </w:p>
    <w:p>
      <w:pPr>
        <w:snapToGrid w:val="0"/>
      </w:pPr>
      <w:r>
        <w:rPr>
          <w:b w:val="0"/>
        </w:rPr>
        <w:t>复算锚点 002815：G=0.053603872542，L=0.039099399829，N=32.975460986，使用本报告 A₀ 和 n₀，得 56.201076 分。纯数学测试另用盈利频率55%、N=64、n₀=20、A₀=0.02；净幅度 +5%/−1%、+3%/−2%、+2%/−2%、+1%/−3% 分别约80.1、61.8、53.8、34.2分。这些是公式夹具，0.02不是生产A₀，结果不是收益回测。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技术评审材料  2026年9月18日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GP 评分引擎专业审阅报告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300" w:lineRule="exact"/>
      <w:snapToGrid w:val="0"/>
    </w:pPr>
    <w:rPr>
      <w:rFonts w:ascii="Calibri" w:hAnsi="Calibr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375" w:lineRule="exact"/>
      <w:outlineLvl w:val="0"/>
      <w:snapToGrid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300" w:lineRule="exact"/>
      <w:outlineLvl w:val="1"/>
      <w:snapToGrid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575" w:lineRule="exact"/>
      <w:contextualSpacing/>
      <w:snapToGrid w:val="0"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75" w:lineRule="exact"/>
      <w:snapToGrid w:val="0"/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 平滑盈亏评分专业审阅报告</dc:title>
  <dc:subject>评分含义 参数来源 实测证据与专业评审问题</dc:subject>
  <dc:creator>GP 项目技术材料</dc:creator>
  <cp:keywords>GP 评分 数学验证 专业评审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