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2E9C12DF" w:rsidR="00F34A9B" w:rsidRPr="005C397A" w:rsidRDefault="009B7880">
      <w:pPr>
        <w:spacing w:line="240" w:lineRule="auto"/>
        <w:rPr>
          <w:b/>
          <w:i/>
          <w:color w:val="2A62A6"/>
          <w:sz w:val="32"/>
          <w:szCs w:val="32"/>
        </w:rPr>
      </w:pPr>
      <w:r>
        <w:rPr>
          <w:b/>
          <w:i/>
          <w:noProof/>
          <w:color w:val="2A62A6"/>
          <w:sz w:val="32"/>
          <w:szCs w:val="32"/>
          <w:lang w:eastAsia="en-US" w:bidi="ar-SA"/>
        </w:rPr>
        <w:drawing>
          <wp:inline distT="0" distB="0" distL="0" distR="0" wp14:anchorId="348CB7C6" wp14:editId="63730A48">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37489">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37489">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37489">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37489">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37489">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37489">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37489">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37489">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37489">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37489">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37489">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37489">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37489">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37489">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37489">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37489">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37489">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37489">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37489">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37489">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37489">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3095"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C1228A">
            <w:r w:rsidRPr="009A4C41">
              <w:t>15/09/2005</w:t>
            </w:r>
          </w:p>
        </w:tc>
        <w:tc>
          <w:tcPr>
            <w:tcW w:w="3095" w:type="dxa"/>
          </w:tcPr>
          <w:p w14:paraId="33CC2B2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C1228A">
            <w:r w:rsidRPr="009A4C41">
              <w:t>15/11/2005</w:t>
            </w:r>
          </w:p>
        </w:tc>
        <w:tc>
          <w:tcPr>
            <w:tcW w:w="3095"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C1228A">
            <w:r w:rsidRPr="009A4C41">
              <w:t>15/12/2005</w:t>
            </w:r>
          </w:p>
        </w:tc>
        <w:tc>
          <w:tcPr>
            <w:tcW w:w="3095"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3095"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3095"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3095"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3095"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3095"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3095"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3095"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22420DD7" w14:textId="6B3A3B16"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14471D">
          <w:rPr>
            <w:rStyle w:val="Hyperlink"/>
          </w:rPr>
          <w:t>https://github.com/team-QTDA-CNTT/BTL</w:t>
        </w:r>
      </w:hyperlink>
    </w:p>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0AACEA5"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9B7880">
        <w:rPr>
          <w:i/>
          <w:iCs/>
        </w:rPr>
        <w:t>0974784841</w:t>
      </w:r>
    </w:p>
    <w:p w14:paraId="0EE106C2" w14:textId="2BEB27FD" w:rsidR="00587AEE" w:rsidRDefault="00587AEE" w:rsidP="00587AEE">
      <w:pPr>
        <w:pStyle w:val="Heading2"/>
      </w:pPr>
      <w:bookmarkStart w:id="5" w:name="_Toc25660383"/>
      <w:r>
        <w:t>Thông tin liên hệ phía công ty</w:t>
      </w:r>
      <w:bookmarkEnd w:id="5"/>
    </w:p>
    <w:p w14:paraId="325B59B4" w14:textId="04C884BB"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r w:rsidR="00A232F5">
        <w:rPr>
          <w:i/>
          <w:iCs/>
        </w:rPr>
        <w:t xml:space="preserve"> </w:t>
      </w:r>
    </w:p>
    <w:p w14:paraId="025AC51D" w14:textId="446FC199" w:rsidR="0058075C" w:rsidRPr="001C04DA" w:rsidRDefault="0058075C" w:rsidP="0058075C">
      <w:pPr>
        <w:rPr>
          <w:i/>
          <w:iCs/>
        </w:rPr>
      </w:pPr>
      <w:r w:rsidRPr="001C04DA">
        <w:rPr>
          <w:i/>
          <w:iCs/>
        </w:rPr>
        <w:t xml:space="preserve">Phiên dịch: </w:t>
      </w:r>
      <w:r w:rsidR="0014471D">
        <w:rPr>
          <w:i/>
          <w:iCs/>
        </w:rPr>
        <w:t>Cường</w:t>
      </w:r>
      <w:r w:rsidR="00A3663E">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268BA99E" w:rsidR="00165B2F" w:rsidRPr="001C04DA" w:rsidRDefault="00165B2F" w:rsidP="00A17A47">
      <w:pPr>
        <w:rPr>
          <w:i/>
          <w:iCs/>
        </w:rPr>
      </w:pPr>
      <w:r w:rsidRPr="001C04DA">
        <w:rPr>
          <w:i/>
          <w:iCs/>
        </w:rPr>
        <w:t xml:space="preserve">Phiên dịch: </w:t>
      </w:r>
      <w:r w:rsidR="0014471D">
        <w:rPr>
          <w:i/>
          <w:iCs/>
        </w:rPr>
        <w:t>Cường</w:t>
      </w:r>
      <w:r w:rsidR="00C73FD8">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2472C5D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các danh mục </w:t>
      </w:r>
      <w:r w:rsidR="009B7880">
        <w:rPr>
          <w:sz w:val="28"/>
          <w:szCs w:val="28"/>
        </w:rPr>
        <w:t>đồng hồ</w:t>
      </w:r>
      <w:r w:rsidRPr="00B74395">
        <w:rPr>
          <w:sz w:val="28"/>
          <w:szCs w:val="28"/>
        </w:rPr>
        <w:t>.</w:t>
      </w:r>
      <w:r w:rsidR="00BB5921">
        <w:rPr>
          <w:sz w:val="28"/>
          <w:szCs w:val="28"/>
        </w:rPr>
        <w:t xml:space="preserve"> </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1C2788E"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r w:rsidR="009B7880">
        <w:rPr>
          <w:sz w:val="28"/>
          <w:szCs w:val="28"/>
        </w:rPr>
        <w:t>, hướng dẫn sử dụng</w:t>
      </w:r>
      <w:r w:rsidRPr="00B74395">
        <w:rPr>
          <w:sz w:val="28"/>
          <w:szCs w:val="28"/>
        </w:rPr>
        <w:t>.</w:t>
      </w:r>
      <w:r w:rsidR="006415FD">
        <w:rPr>
          <w:sz w:val="28"/>
          <w:szCs w:val="28"/>
        </w:rPr>
        <w:t xml:space="preserve"> </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1B6AB9AF"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r w:rsidR="00A74EEB">
        <w:rPr>
          <w:sz w:val="28"/>
          <w:szCs w:val="28"/>
        </w:rPr>
        <w:t xml:space="preserve"> </w:t>
      </w:r>
      <w:bookmarkStart w:id="9" w:name="_GoBack"/>
      <w:bookmarkEnd w:id="9"/>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lastRenderedPageBreak/>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3B58A7A"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r w:rsidR="00886724">
        <w:rPr>
          <w:i/>
          <w:iCs/>
        </w:rPr>
        <w:t xml:space="preserve"> </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74DD6B26"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B3BB2">
        <w:rPr>
          <w:sz w:val="28"/>
          <w:szCs w:val="28"/>
        </w:rPr>
        <w:t>.</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4C890186"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 xml:space="preserve"> ,</w:t>
      </w:r>
      <w:r w:rsidR="0014471D">
        <w:t>Kiên</w:t>
      </w:r>
      <w:r w:rsidR="00E2312F">
        <w:t>:15 ,</w:t>
      </w:r>
      <w:r w:rsidR="0014471D">
        <w:t>Cường: 11</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9BDC4" w14:textId="77777777" w:rsidR="00637489" w:rsidRDefault="00637489">
      <w:r>
        <w:separator/>
      </w:r>
    </w:p>
    <w:p w14:paraId="0931F946" w14:textId="77777777" w:rsidR="00637489" w:rsidRDefault="00637489"/>
  </w:endnote>
  <w:endnote w:type="continuationSeparator" w:id="0">
    <w:p w14:paraId="485D407D" w14:textId="77777777" w:rsidR="00637489" w:rsidRDefault="00637489">
      <w:r>
        <w:continuationSeparator/>
      </w:r>
    </w:p>
    <w:p w14:paraId="3C7FC690" w14:textId="77777777" w:rsidR="00637489" w:rsidRDefault="006374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sine"/>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80D77EF"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74EEB">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B7880" w:rsidRPr="00932976" w:rsidRDefault="009B788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B7880" w:rsidRPr="00932976" w:rsidRDefault="009B788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B7880" w:rsidRDefault="009B788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B7880" w:rsidRDefault="009B7880"/>
  <w:p w14:paraId="7F403060" w14:textId="77777777" w:rsidR="009B7880" w:rsidRDefault="009B788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6179BC5"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74EEB">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74EEB">
      <w:rPr>
        <w:i/>
        <w:noProof/>
        <w:color w:val="C00000"/>
        <w:lang w:eastAsia="ar-SA" w:bidi="ar-SA"/>
      </w:rPr>
      <w:t>15</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B7880" w:rsidRDefault="009B788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8209A" w14:textId="77777777" w:rsidR="00637489" w:rsidRDefault="00637489">
      <w:r>
        <w:separator/>
      </w:r>
    </w:p>
    <w:p w14:paraId="28B772D0" w14:textId="77777777" w:rsidR="00637489" w:rsidRDefault="00637489"/>
  </w:footnote>
  <w:footnote w:type="continuationSeparator" w:id="0">
    <w:p w14:paraId="74925C0C" w14:textId="77777777" w:rsidR="00637489" w:rsidRDefault="00637489">
      <w:r>
        <w:continuationSeparator/>
      </w:r>
    </w:p>
    <w:p w14:paraId="2DE23F88" w14:textId="77777777" w:rsidR="00637489" w:rsidRDefault="0063748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B7880" w:rsidRDefault="009B788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B7880" w:rsidRDefault="009B788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7B00"/>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6446F"/>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37489"/>
    <w:rsid w:val="006415FD"/>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724"/>
    <w:rsid w:val="008868E0"/>
    <w:rsid w:val="00895F6E"/>
    <w:rsid w:val="00896C23"/>
    <w:rsid w:val="008A0BEE"/>
    <w:rsid w:val="008A32AB"/>
    <w:rsid w:val="008A4F46"/>
    <w:rsid w:val="008A60DC"/>
    <w:rsid w:val="008A6605"/>
    <w:rsid w:val="008A7E5C"/>
    <w:rsid w:val="008B0148"/>
    <w:rsid w:val="008B0D9E"/>
    <w:rsid w:val="008B3A19"/>
    <w:rsid w:val="008B3BB2"/>
    <w:rsid w:val="008B4872"/>
    <w:rsid w:val="008B68D0"/>
    <w:rsid w:val="008C0E63"/>
    <w:rsid w:val="008C1710"/>
    <w:rsid w:val="008D0992"/>
    <w:rsid w:val="008D1ED2"/>
    <w:rsid w:val="008D1F52"/>
    <w:rsid w:val="008D35DD"/>
    <w:rsid w:val="008D4E35"/>
    <w:rsid w:val="008D7625"/>
    <w:rsid w:val="008E0605"/>
    <w:rsid w:val="008E661F"/>
    <w:rsid w:val="008E6AE9"/>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2F5"/>
    <w:rsid w:val="00A23C6C"/>
    <w:rsid w:val="00A2521D"/>
    <w:rsid w:val="00A31DC4"/>
    <w:rsid w:val="00A3290F"/>
    <w:rsid w:val="00A3663E"/>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4EEB"/>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5921"/>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3FD8"/>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6F81"/>
    <w:rsid w:val="00CD6F8E"/>
    <w:rsid w:val="00CD7D33"/>
    <w:rsid w:val="00CE0B65"/>
    <w:rsid w:val="00CE19E1"/>
    <w:rsid w:val="00CE5923"/>
    <w:rsid w:val="00CF1CA1"/>
    <w:rsid w:val="00CF53E4"/>
    <w:rsid w:val="00CF7915"/>
    <w:rsid w:val="00D00045"/>
    <w:rsid w:val="00D010B9"/>
    <w:rsid w:val="00D0134B"/>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3AE8"/>
    <w:rsid w:val="00E73FEC"/>
    <w:rsid w:val="00E75365"/>
    <w:rsid w:val="00E83396"/>
    <w:rsid w:val="00E838F7"/>
    <w:rsid w:val="00E86757"/>
    <w:rsid w:val="00E86DFC"/>
    <w:rsid w:val="00E90D01"/>
    <w:rsid w:val="00E92314"/>
    <w:rsid w:val="00E926C3"/>
    <w:rsid w:val="00E95D61"/>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eam-QTDA-CNTT/BT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9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1CCCB-072A-4F24-8390-CEBC7A1A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12879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Thai</cp:lastModifiedBy>
  <cp:revision>24</cp:revision>
  <cp:lastPrinted>2008-03-13T11:02:00Z</cp:lastPrinted>
  <dcterms:created xsi:type="dcterms:W3CDTF">2019-12-22T14:47:00Z</dcterms:created>
  <dcterms:modified xsi:type="dcterms:W3CDTF">2019-12-22T15:36:00Z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