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7324D"/>
          <w:sz w:val="36"/>
        </w:rPr>
        <w:t>ASHLYN A. MERRIGAN CURSOS</w:t>
      </w:r>
    </w:p>
    <w:p>
      <w:pPr>
        <w:jc w:val="center"/>
      </w:pPr>
      <w:r>
        <w:rPr>
          <w:b/>
          <w:color w:val="245B63"/>
          <w:sz w:val="52"/>
        </w:rPr>
        <w:t>READ ME FIRST</w:t>
      </w:r>
    </w:p>
    <w:p>
      <w:pPr>
        <w:jc w:val="center"/>
      </w:pPr>
      <w:r>
        <w:rPr>
          <w:color w:val="A63D40"/>
          <w:sz w:val="28"/>
        </w:rPr>
        <w:t>How to use the complete one-year package</w:t>
      </w:r>
    </w:p>
    <w:p>
      <w:pPr>
        <w:spacing w:before="400"/>
        <w:jc w:val="center"/>
      </w:pPr>
      <w:r>
        <w:rPr>
          <w:b/>
          <w:sz w:val="24"/>
        </w:rPr>
        <w:t>40 weeks | 3 sessions per week | 3 hours per session | 360 contact hours</w:t>
      </w:r>
    </w:p>
    <w:p>
      <w:pPr>
        <w:jc w:val="center"/>
      </w:pPr>
      <w:r>
        <w:rPr>
          <w:sz w:val="22"/>
        </w:rPr>
        <w:t>For directors, coordinators and teachers</w:t>
      </w:r>
    </w:p>
    <w:p>
      <w:pPr>
        <w:spacing w:before="600"/>
        <w:jc w:val="center"/>
      </w:pPr>
      <w:r>
        <w:rPr>
          <w:sz w:val="20"/>
        </w:rPr>
        <w:t>CNPJ 46.304.161/0001-70</w:t>
      </w:r>
    </w:p>
    <w:p>
      <w:r>
        <w:br w:type="page"/>
      </w:r>
    </w:p>
    <w:p>
      <w:pPr>
        <w:pStyle w:val="Heading1"/>
      </w:pPr>
      <w:r>
        <w:t>What this package contains</w:t>
      </w:r>
    </w:p>
    <w:p>
      <w:r>
        <w:t>This is a complete institutional programme for adult or older-teen international learners beginning Brazilian Portuguese at zero. It supplies 120 teachable three-hour sessions, student material, homework, assessments, cultural work, printable resources and operational records. The programme is designed for approximately CEFR B1 by the end, although individual outcomes depend on attendance, prior language learning, literacy, independent study and opportunities to use Portuguese.</w:t>
      </w:r>
    </w:p>
    <w:p>
      <w:pPr>
        <w:pStyle w:val="ListBullet"/>
        <w:spacing w:after="20"/>
      </w:pPr>
      <w:r>
        <w:t>40 instructional weeks; three sessions per week; 120 sessions; 360 contact hours.</w:t>
      </w:r>
    </w:p>
    <w:p>
      <w:pPr>
        <w:pStyle w:val="ListBullet"/>
        <w:spacing w:after="20"/>
      </w:pPr>
      <w:r>
        <w:t>Weeks 1-20: all ten units of Muito Prazer Volume 1 are integrated as the optional commercial coursebook spine.</w:t>
      </w:r>
    </w:p>
    <w:p>
      <w:pPr>
        <w:pStyle w:val="ListBullet"/>
        <w:spacing w:after="20"/>
      </w:pPr>
      <w:r>
        <w:t>Weeks 21-40: original A2-to-B1 extension covering work, past tenses, travel, services, technology, environment, argumentation and integrated fluency.</w:t>
      </w:r>
    </w:p>
    <w:p>
      <w:pPr>
        <w:pStyle w:val="ListBullet"/>
        <w:spacing w:after="20"/>
      </w:pPr>
      <w:r>
        <w:t>Four student coursebook volumes, four teacher lesson-plan volumes and 120 homework tasks.</w:t>
      </w:r>
    </w:p>
    <w:p>
      <w:pPr>
        <w:pStyle w:val="ListBullet"/>
        <w:spacing w:after="20"/>
      </w:pPr>
      <w:r>
        <w:t>Diagnostic, twenty unit checks, four term progress assessments, final oral/written assessment and complete rubrics.</w:t>
      </w:r>
    </w:p>
    <w:p>
      <w:pPr>
        <w:pStyle w:val="ListBullet"/>
        <w:spacing w:after="20"/>
      </w:pPr>
      <w:r>
        <w:t>Original companion texts, dialogues, listening scripts and activities; no copyrighted textbook pages or audio are reproduced.</w:t>
      </w:r>
    </w:p>
    <w:p>
      <w:pPr>
        <w:pStyle w:val="Heading1"/>
      </w:pPr>
      <w:r>
        <w:t>Recommended weekly operation</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5256"/>
            <w:vAlign w:val="center"/>
            <w:shd w:fill="17324D"/>
          </w:tcPr>
          <w:p>
            <w:r/>
            <w:r>
              <w:rPr>
                <w:b/>
                <w:color w:val="FFFFFF"/>
                <w:sz w:val="18"/>
              </w:rPr>
              <w:t>Component</w:t>
            </w:r>
          </w:p>
        </w:tc>
        <w:tc>
          <w:tcPr>
            <w:tcW w:type="dxa" w:w="5256"/>
            <w:vAlign w:val="center"/>
            <w:shd w:fill="17324D"/>
          </w:tcPr>
          <w:p>
            <w:r/>
            <w:r>
              <w:rPr>
                <w:b/>
                <w:color w:val="FFFFFF"/>
                <w:sz w:val="18"/>
              </w:rPr>
              <w:t>How to use it</w:t>
            </w:r>
          </w:p>
        </w:tc>
      </w:tr>
      <w:tr>
        <w:tc>
          <w:tcPr>
            <w:tcW w:type="dxa" w:w="5256"/>
            <w:vAlign w:val="center"/>
            <w:shd w:fill="E8F1F2"/>
          </w:tcPr>
          <w:p>
            <w:r/>
            <w:r>
              <w:rPr>
                <w:b/>
                <w:color w:val="17324D"/>
                <w:sz w:val="18"/>
              </w:rPr>
              <w:t>Session 1</w:t>
            </w:r>
          </w:p>
        </w:tc>
        <w:tc>
          <w:tcPr>
            <w:tcW w:type="dxa" w:w="5256"/>
            <w:vAlign w:val="center"/>
          </w:tcPr>
          <w:p>
            <w:r/>
            <w:r>
              <w:rPr>
                <w:b w:val="0"/>
                <w:sz w:val="18"/>
              </w:rPr>
              <w:t>Input, vocabulary, functional language and supported interaction.</w:t>
            </w:r>
          </w:p>
        </w:tc>
      </w:tr>
      <w:tr>
        <w:tc>
          <w:tcPr>
            <w:tcW w:type="dxa" w:w="5256"/>
            <w:vAlign w:val="center"/>
            <w:shd w:fill="E8F1F2"/>
          </w:tcPr>
          <w:p>
            <w:r/>
            <w:r>
              <w:rPr>
                <w:b/>
                <w:color w:val="17324D"/>
                <w:sz w:val="18"/>
              </w:rPr>
              <w:t>Session 2</w:t>
            </w:r>
          </w:p>
        </w:tc>
        <w:tc>
          <w:tcPr>
            <w:tcW w:type="dxa" w:w="5256"/>
            <w:vAlign w:val="center"/>
          </w:tcPr>
          <w:p>
            <w:r/>
            <w:r>
              <w:rPr>
                <w:b w:val="0"/>
                <w:sz w:val="18"/>
              </w:rPr>
              <w:t>Grammar, pronunciation, controlled practice and accuracy work.</w:t>
            </w:r>
          </w:p>
        </w:tc>
      </w:tr>
      <w:tr>
        <w:tc>
          <w:tcPr>
            <w:tcW w:type="dxa" w:w="5256"/>
            <w:vAlign w:val="center"/>
            <w:shd w:fill="E8F1F2"/>
          </w:tcPr>
          <w:p>
            <w:r/>
            <w:r>
              <w:rPr>
                <w:b/>
                <w:color w:val="17324D"/>
                <w:sz w:val="18"/>
              </w:rPr>
              <w:t>Session 3</w:t>
            </w:r>
          </w:p>
        </w:tc>
        <w:tc>
          <w:tcPr>
            <w:tcW w:type="dxa" w:w="5256"/>
            <w:vAlign w:val="center"/>
          </w:tcPr>
          <w:p>
            <w:r/>
            <w:r>
              <w:rPr>
                <w:b w:val="0"/>
                <w:sz w:val="18"/>
              </w:rPr>
              <w:t>Listening/reading, real-world task, writing, review and assessment evidence.</w:t>
            </w:r>
          </w:p>
        </w:tc>
      </w:tr>
      <w:tr>
        <w:tc>
          <w:tcPr>
            <w:tcW w:type="dxa" w:w="5256"/>
            <w:vAlign w:val="center"/>
            <w:shd w:fill="E8F1F2"/>
          </w:tcPr>
          <w:p>
            <w:r/>
            <w:r>
              <w:rPr>
                <w:b/>
                <w:color w:val="17324D"/>
                <w:sz w:val="18"/>
              </w:rPr>
              <w:t>Independent study</w:t>
            </w:r>
          </w:p>
        </w:tc>
        <w:tc>
          <w:tcPr>
            <w:tcW w:type="dxa" w:w="5256"/>
            <w:vAlign w:val="center"/>
          </w:tcPr>
          <w:p>
            <w:r/>
            <w:r>
              <w:rPr>
                <w:b w:val="0"/>
                <w:sz w:val="18"/>
              </w:rPr>
              <w:t>Normally 60-120 minutes after each session, adjusted to learner profile.</w:t>
            </w:r>
          </w:p>
        </w:tc>
      </w:tr>
    </w:tbl>
    <w:p>
      <w:pPr>
        <w:pStyle w:val="Heading1"/>
      </w:pPr>
      <w:r>
        <w:t>Before the first class</w:t>
      </w:r>
    </w:p>
    <w:p>
      <w:pPr>
        <w:spacing w:after="20"/>
      </w:pPr>
      <w:r>
        <w:t>1. Confirm class age range, literacy, accessibility needs, emergency procedures and safeguarding requirements.</w:t>
      </w:r>
    </w:p>
    <w:p>
      <w:pPr>
        <w:spacing w:after="20"/>
      </w:pPr>
      <w:r>
        <w:t>2. Enter dates and teacher names in the spreadsheet. Replace suggested completion thresholds with the school’s approved policy.</w:t>
      </w:r>
    </w:p>
    <w:p>
      <w:pPr>
        <w:spacing w:after="20"/>
      </w:pPr>
      <w:r>
        <w:t>3. If using Muito Prazer, check the school’s lawful edition and enter exact page, exercise and CD references in the edition-control sheets.</w:t>
      </w:r>
    </w:p>
    <w:p>
      <w:pPr>
        <w:spacing w:after="20"/>
      </w:pPr>
      <w:r>
        <w:t>4. Print or distribute only the relevant student volume, homework pages and assessment materials. Keep teacher keys confidential.</w:t>
      </w:r>
    </w:p>
    <w:p>
      <w:pPr>
        <w:spacing w:after="20"/>
      </w:pPr>
      <w:r>
        <w:t>5. Complete the diagnostic in Session 1 and record reasonable adjustments before assigning final support plans.</w:t>
      </w:r>
    </w:p>
    <w:p>
      <w:pPr>
        <w:pStyle w:val="Heading1"/>
      </w:pPr>
      <w:r>
        <w:t>Important scope statement</w:t>
      </w:r>
    </w:p>
    <w:p>
      <w:r>
        <w:t>No one-year course can cover every regional variety, professional specialism or advanced grammatical structure in Portuguese. This programme covers the complete practical foundation expected from an absolute-beginner general-language course through approximately B1: interaction, pronunciation, grammar, vocabulary, literacy, culture, real-world services, work/study communication and independent-learning skills.</w:t>
      </w:r>
    </w:p>
    <w:p>
      <w:pPr>
        <w:pStyle w:val="Heading1"/>
      </w:pPr>
      <w:r>
        <w:t>Folder map</w:t>
      </w:r>
    </w:p>
    <w:p>
      <w:pPr>
        <w:pStyle w:val="ListBullet"/>
      </w:pPr>
      <w:r>
        <w:t>00_START_HERE: 00 Start Here</w:t>
      </w:r>
    </w:p>
    <w:p>
      <w:pPr>
        <w:pStyle w:val="ListBullet"/>
      </w:pPr>
      <w:r>
        <w:t>01_TEACHER_GUIDES: 01 Teacher Guides</w:t>
      </w:r>
    </w:p>
    <w:p>
      <w:pPr>
        <w:pStyle w:val="ListBullet"/>
      </w:pPr>
      <w:r>
        <w:t>02_STUDENT_COURSEBOOK: 02 Student Coursebook</w:t>
      </w:r>
    </w:p>
    <w:p>
      <w:pPr>
        <w:pStyle w:val="ListBullet"/>
      </w:pPr>
      <w:r>
        <w:t>03_HOMEWORK_AND_PORTFOLIO: 03 Homework And Portfolio</w:t>
      </w:r>
    </w:p>
    <w:p>
      <w:pPr>
        <w:pStyle w:val="ListBullet"/>
      </w:pPr>
      <w:r>
        <w:t>04_ASSESSMENT: 04 Assessment</w:t>
      </w:r>
    </w:p>
    <w:p>
      <w:pPr>
        <w:pStyle w:val="ListBullet"/>
      </w:pPr>
      <w:r>
        <w:t>05_REFERENCE: 05 Reference</w:t>
      </w:r>
    </w:p>
    <w:p>
      <w:pPr>
        <w:pStyle w:val="ListBullet"/>
      </w:pPr>
      <w:r>
        <w:t>06_CULTURE_AND_FIELDWORK: 06 Culture And Fieldwork</w:t>
      </w:r>
    </w:p>
    <w:p>
      <w:pPr>
        <w:pStyle w:val="ListBullet"/>
      </w:pPr>
      <w:r>
        <w:t>07_PRINTABLE_RESOURCES: 07 Printable Resources</w:t>
      </w:r>
    </w:p>
    <w:p>
      <w:pPr>
        <w:pStyle w:val="ListBullet"/>
      </w:pPr>
      <w:r>
        <w:t>08_ADMIN_AND_RECORDS: 08 Admin And Records</w:t>
      </w:r>
    </w:p>
    <w:p>
      <w:pPr>
        <w:pStyle w:val="ListBullet"/>
      </w:pPr>
      <w:r>
        <w:t>09_COPYRIGHT_AND_EDITION_CONTROL: 09 Copyright And Edition Control</w:t>
      </w:r>
    </w:p>
    <w:sectPr w:rsidR="00FC693F" w:rsidRPr="0006063C" w:rsidSect="00034616">
      <w:headerReference w:type="default" r:id="rId9"/>
      <w:footerReference w:type="default" r:id="rId10"/>
      <w:pgSz w:w="12240" w:h="15840"/>
      <w:pgMar w:top="792" w:right="864" w:bottom="792" w:left="86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B7280"/>
        <w:sz w:val="16"/>
      </w:rPr>
      <w:t>ASHLYN A. MERRIGAN CURSOS | Brazilian Portuguese from Zero: One-Year Intensive Programme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Liberation Sans" w:hAnsi="Liberation Sans" w:eastAsia="Liberation Sans"/>
      <w:b/>
      <w:bCs/>
      <w:color w:val="245B63"/>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eastAsia="Liberation Sans"/>
      <w:b/>
      <w:bCs/>
      <w:color w:val="17324D"/>
      <w:sz w:val="28"/>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Liberation Sans" w:hAnsi="Liberation Sans" w:eastAsia="Liberation Sans"/>
      <w:b/>
      <w:bCs/>
      <w:color w:val="A63D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245B6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