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7324D"/>
          <w:sz w:val="36"/>
        </w:rPr>
        <w:t>ASHLYN A. MERRIGAN CURSOS</w:t>
      </w:r>
    </w:p>
    <w:p>
      <w:pPr>
        <w:jc w:val="center"/>
      </w:pPr>
      <w:r>
        <w:rPr>
          <w:b/>
          <w:color w:val="245B63"/>
          <w:sz w:val="52"/>
        </w:rPr>
        <w:t>Programme Overview, Curriculum and Syllabus</w:t>
      </w:r>
    </w:p>
    <w:p>
      <w:pPr>
        <w:jc w:val="center"/>
      </w:pPr>
      <w:r>
        <w:rPr>
          <w:color w:val="A63D40"/>
          <w:sz w:val="28"/>
        </w:rPr>
        <w:t>Institutional specification for a 360-hour course</w:t>
      </w:r>
    </w:p>
    <w:p>
      <w:pPr>
        <w:spacing w:before="400"/>
        <w:jc w:val="center"/>
      </w:pPr>
      <w:r>
        <w:rPr>
          <w:b/>
          <w:sz w:val="24"/>
        </w:rPr>
        <w:t>40 weeks | 3 sessions per week | 3 hours per session | 360 contact hours</w:t>
      </w:r>
    </w:p>
    <w:p>
      <w:pPr>
        <w:jc w:val="center"/>
      </w:pPr>
      <w:r>
        <w:rPr>
          <w:sz w:val="22"/>
        </w:rPr>
        <w:t>For programme approval and staff induction</w:t>
      </w:r>
    </w:p>
    <w:p>
      <w:pPr>
        <w:spacing w:before="600"/>
        <w:jc w:val="center"/>
      </w:pPr>
      <w:r>
        <w:rPr>
          <w:sz w:val="20"/>
        </w:rPr>
        <w:t>CNPJ 46.304.161/0001-70</w:t>
      </w:r>
    </w:p>
    <w:p>
      <w:r>
        <w:br w:type="page"/>
      </w:r>
    </w:p>
    <w:p>
      <w:pPr>
        <w:pStyle w:val="Heading1"/>
      </w:pPr>
      <w:r>
        <w:t>1. Programme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  <w:shd w:fill="17324D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256"/>
            <w:vAlign w:val="center"/>
            <w:shd w:fill="17324D"/>
          </w:tcPr>
          <w:p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8"/>
              </w:rPr>
              <w:t>Provider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ASHLYN A. MERRIGAN CURSOS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8"/>
              </w:rPr>
              <w:t>CNPJ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46.304.161/0001-70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8"/>
              </w:rPr>
              <w:t>Programme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Brazilian Portuguese from Zero: One-Year Intensive Programme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8"/>
              </w:rPr>
              <w:t>Duration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40 weeks | 3 sessions per week | 3 hours per session | 360 contact hours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8"/>
              </w:rPr>
              <w:t>Entry level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Absolute beginner / CEFR Pre-A1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8"/>
              </w:rPr>
              <w:t>Target exit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Approximately CEFR B1, subject to learner evidence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8"/>
              </w:rPr>
              <w:t>Language variety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Contemporary Brazilian Portuguese with awareness of regional and formal/informal variation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8"/>
              </w:rPr>
              <w:t>Delivery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Face-to-face, online or blended; communicative and task-based</w:t>
            </w:r>
          </w:p>
        </w:tc>
      </w:tr>
    </w:tbl>
    <w:p>
      <w:pPr>
        <w:pStyle w:val="Heading1"/>
      </w:pPr>
      <w:r>
        <w:t>2. Programme aims</w:t>
      </w:r>
    </w:p>
    <w:p>
      <w:pPr>
        <w:pStyle w:val="ListBullet"/>
        <w:spacing w:after="20"/>
      </w:pPr>
      <w:r>
        <w:t>Enable learners to participate independently in common personal, social, educational, workplace and service encounters.</w:t>
      </w:r>
    </w:p>
    <w:p>
      <w:pPr>
        <w:pStyle w:val="ListBullet"/>
        <w:spacing w:after="20"/>
      </w:pPr>
      <w:r>
        <w:t>Develop intelligible pronunciation, active listening, interactional strategies and confidence across different Brazilian accents.</w:t>
      </w:r>
    </w:p>
    <w:p>
      <w:pPr>
        <w:pStyle w:val="ListBullet"/>
        <w:spacing w:after="20"/>
      </w:pPr>
      <w:r>
        <w:t>Build systematic control of high-frequency grammar from present-tense basics to past narration, future, conditional and introductory subjunctive use.</w:t>
      </w:r>
    </w:p>
    <w:p>
      <w:pPr>
        <w:pStyle w:val="ListBullet"/>
        <w:spacing w:after="20"/>
      </w:pPr>
      <w:r>
        <w:t>Develop reading and writing from forms and messages to structured emails, narratives, complaints and opinion texts.</w:t>
      </w:r>
    </w:p>
    <w:p>
      <w:pPr>
        <w:pStyle w:val="ListBullet"/>
        <w:spacing w:after="20"/>
      </w:pPr>
      <w:r>
        <w:t>Promote critical cultural awareness without presenting Brazil as culturally uniform.</w:t>
      </w:r>
    </w:p>
    <w:p>
      <w:pPr>
        <w:pStyle w:val="ListBullet"/>
        <w:spacing w:after="20"/>
      </w:pPr>
      <w:r>
        <w:t>Build independent study, self-correction, portfolio and digital-literacy practices.</w:t>
      </w:r>
    </w:p>
    <w:p>
      <w:pPr>
        <w:pStyle w:val="Heading1"/>
      </w:pPr>
      <w:r>
        <w:t>3. Exit learning outcomes</w:t>
      </w:r>
    </w:p>
    <w:p>
      <w:pPr>
        <w:pStyle w:val="ListBullet"/>
        <w:spacing w:after="20"/>
      </w:pPr>
      <w:r>
        <w:t>Sustain a familiar conversation, ask follow-up questions, repair misunderstanding and adapt register to common formal/informal contexts.</w:t>
      </w:r>
    </w:p>
    <w:p>
      <w:pPr>
        <w:pStyle w:val="ListBullet"/>
        <w:spacing w:after="20"/>
      </w:pPr>
      <w:r>
        <w:t>Understand the main points and relevant details in clear everyday speech, announcements, instructions and short presentations.</w:t>
      </w:r>
    </w:p>
    <w:p>
      <w:pPr>
        <w:pStyle w:val="ListBullet"/>
        <w:spacing w:after="20"/>
      </w:pPr>
      <w:r>
        <w:t>Read practical notices, messages, forms, emails, news-style texts and short articles, identifying purpose, detail and viewpoint.</w:t>
      </w:r>
    </w:p>
    <w:p>
      <w:pPr>
        <w:pStyle w:val="ListBullet"/>
        <w:spacing w:after="20"/>
      </w:pPr>
      <w:r>
        <w:t>Write connected texts of approximately 180-300 words for personal, practical and simple professional purposes.</w:t>
      </w:r>
    </w:p>
    <w:p>
      <w:pPr>
        <w:pStyle w:val="ListBullet"/>
        <w:spacing w:after="20"/>
      </w:pPr>
      <w:r>
        <w:t>Use present, past and future time frames with sufficient control for clear meaning; use introductory subjunctive and conditional structures in common functions.</w:t>
      </w:r>
    </w:p>
    <w:p>
      <w:pPr>
        <w:pStyle w:val="ListBullet"/>
        <w:spacing w:after="20"/>
      </w:pPr>
      <w:r>
        <w:t>Complete practical tasks involving transport, food, housing, shopping, health communication, work, travel, services and community participation.</w:t>
      </w:r>
    </w:p>
    <w:p>
      <w:pPr>
        <w:pStyle w:val="ListBullet"/>
        <w:spacing w:after="20"/>
      </w:pPr>
      <w:r>
        <w:t>Reflect on language progress and plan continued learning beyond the course.</w:t>
      </w:r>
    </w:p>
    <w:p>
      <w:pPr>
        <w:pStyle w:val="Heading1"/>
      </w:pPr>
      <w:r>
        <w:t>4. Curriculum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vAlign w:val="center"/>
            <w:shd w:fill="17324D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504"/>
            <w:vAlign w:val="center"/>
            <w:shd w:fill="17324D"/>
          </w:tcPr>
          <w:p>
            <w:r/>
            <w:r>
              <w:rPr>
                <w:b/>
                <w:color w:val="FFFFFF"/>
                <w:sz w:val="18"/>
              </w:rPr>
              <w:t>Level and units</w:t>
            </w:r>
          </w:p>
        </w:tc>
        <w:tc>
          <w:tcPr>
            <w:tcW w:type="dxa" w:w="3504"/>
            <w:vAlign w:val="center"/>
            <w:shd w:fill="17324D"/>
          </w:tcPr>
          <w:p>
            <w:r/>
            <w:r>
              <w:rPr>
                <w:b/>
                <w:color w:val="FFFFFF"/>
                <w:sz w:val="18"/>
              </w:rPr>
              <w:t>Core focus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Term 1 - Weeks 1-10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Pre-A1 to A1; Units 1-5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survival language, identity, family, routines, food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Term 2 - Weeks 11-20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A1 to A2; Units 6-10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city, home, shopping, health, leisure and plans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Term 3 - Weeks 21-30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A2; Units 11-15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work/study, past narration, childhood, travel, services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Term 4 - Weeks 31-40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A2+ to B1; Units 16-20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technology, environment, argument, crisis narratives, integration</w:t>
            </w:r>
          </w:p>
        </w:tc>
      </w:tr>
    </w:tbl>
    <w:p>
      <w:pPr>
        <w:pStyle w:val="Heading1"/>
      </w:pPr>
      <w:r>
        <w:t>5. Teaching methodology</w:t>
      </w:r>
    </w:p>
    <w:p>
      <w:pPr>
        <w:pStyle w:val="ListBullet"/>
        <w:spacing w:after="20"/>
      </w:pPr>
      <w:r>
        <w:t>Communicative language teaching with explicit form-focused instruction.</w:t>
      </w:r>
    </w:p>
    <w:p>
      <w:pPr>
        <w:pStyle w:val="ListBullet"/>
        <w:spacing w:after="20"/>
      </w:pPr>
      <w:r>
        <w:t>Task-based cycles: prepare, perform, receive feedback, repeat or improve.</w:t>
      </w:r>
    </w:p>
    <w:p>
      <w:pPr>
        <w:pStyle w:val="ListBullet"/>
        <w:spacing w:after="20"/>
      </w:pPr>
      <w:r>
        <w:t>Retrieval practice and spaced review across units rather than one-time exposure.</w:t>
      </w:r>
    </w:p>
    <w:p>
      <w:pPr>
        <w:pStyle w:val="ListBullet"/>
        <w:spacing w:after="20"/>
      </w:pPr>
      <w:r>
        <w:t>Pronunciation for intelligibility: perception, controlled production, meaningful use and self-monitoring.</w:t>
      </w:r>
    </w:p>
    <w:p>
      <w:pPr>
        <w:pStyle w:val="ListBullet"/>
        <w:spacing w:after="20"/>
      </w:pPr>
      <w:r>
        <w:t>Integrated skills: each unit includes listening, speaking, reading, writing and intercultural reflection.</w:t>
      </w:r>
    </w:p>
    <w:p>
      <w:pPr>
        <w:pStyle w:val="ListBullet"/>
        <w:spacing w:after="20"/>
      </w:pPr>
      <w:r>
        <w:t>Differentiation through supported, core and extension versions of tasks.</w:t>
      </w:r>
    </w:p>
    <w:p>
      <w:pPr>
        <w:pStyle w:val="ListBullet"/>
        <w:spacing w:after="20"/>
      </w:pPr>
      <w:r>
        <w:t>Assessment for learning: exit tickets, portfolio evidence, conferencing and reassessment after corrective teaching.</w:t>
      </w:r>
    </w:p>
    <w:p>
      <w:pPr>
        <w:pStyle w:val="Heading1"/>
      </w:pPr>
      <w:r>
        <w:t>6. Assessment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  <w:shd w:fill="17324D"/>
          </w:tcPr>
          <w:p>
            <w:r/>
            <w:r>
              <w:rPr>
                <w:b/>
                <w:color w:val="FFFFFF"/>
                <w:sz w:val="18"/>
              </w:rPr>
              <w:t>Assessment</w:t>
            </w:r>
          </w:p>
        </w:tc>
        <w:tc>
          <w:tcPr>
            <w:tcW w:type="dxa" w:w="5256"/>
            <w:vAlign w:val="center"/>
            <w:shd w:fill="17324D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8"/>
              </w:rPr>
              <w:t>Diagnostic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Session 1; non-graded baseline for literacy, learning history, speaking and pronunciation.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8"/>
              </w:rPr>
              <w:t>Formative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Every session: observation, retrieval, exit ticket, homework and portfolio.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8"/>
              </w:rPr>
              <w:t>Unit checks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Twenty short checks, one at the end of each two-week unit.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8"/>
              </w:rPr>
              <w:t>Progress assessments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End of Weeks 10, 20 and 30; integrated four-skill evidence.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8"/>
              </w:rPr>
              <w:t>Final assessment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Week 40: final oral presentation/interaction, listening, reading, writing and portfolio review.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8"/>
              </w:rPr>
              <w:t>Suggested weighting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Unit work 30%; homework/portfolio 15%; term progress 20%; culture/project 10%; final oral 12.5%; final written 12.5%.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8"/>
              </w:rPr>
              <w:t>Suggested completion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70% overall and 75% attendance, subject to the institution’s authorised policy.</w:t>
            </w:r>
          </w:p>
        </w:tc>
      </w:tr>
    </w:tbl>
    <w:p>
      <w:pPr>
        <w:pStyle w:val="Heading1"/>
      </w:pPr>
      <w:r>
        <w:t>7. Inclusion and learner support</w:t>
      </w:r>
    </w:p>
    <w:p>
      <w:pPr>
        <w:pStyle w:val="ListBullet"/>
        <w:spacing w:after="20"/>
      </w:pPr>
      <w:r>
        <w:t>Offer additional processing time, accessible formats, captions/transcripts after listening assessment, and reduced-copying alternatives where appropriate.</w:t>
      </w:r>
    </w:p>
    <w:p>
      <w:pPr>
        <w:pStyle w:val="ListBullet"/>
        <w:spacing w:after="20"/>
      </w:pPr>
      <w:r>
        <w:t>Do not force disclosure of immigration status, health information, family history, religion, politics or trauma.</w:t>
      </w:r>
    </w:p>
    <w:p>
      <w:pPr>
        <w:pStyle w:val="ListBullet"/>
        <w:spacing w:after="20"/>
      </w:pPr>
      <w:r>
        <w:t>Use fictional data in public role-plays involving addresses, identity numbers, bank details or health information.</w:t>
      </w:r>
    </w:p>
    <w:p>
      <w:pPr>
        <w:pStyle w:val="ListBullet"/>
        <w:spacing w:after="20"/>
      </w:pPr>
      <w:r>
        <w:t>Allow alternative cultural tasks for mobility, financial, safety or privacy reasons.</w:t>
      </w:r>
    </w:p>
    <w:p>
      <w:pPr>
        <w:pStyle w:val="ListBullet"/>
        <w:spacing w:after="20"/>
      </w:pPr>
      <w:r>
        <w:t>Record support decisions in the confidential support log and review them regularly.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B7280"/>
        <w:sz w:val="16"/>
      </w:rPr>
      <w:t>ASHLYN A. MERRIGAN CURSOS | Brazilian Portuguese from Zero: One-Year Intensive Programme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45B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32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A63D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245B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