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algun Gothic" w:hAnsi="Malgun Gothic" w:eastAsia="Malgun Gothic"/>
          <w:b/>
          <w:sz w:val="36"/>
        </w:rPr>
        <w:t>유니크시스템 미팅 회의록</w:t>
      </w:r>
    </w:p>
    <w:p>
      <w:pPr>
        <w:spacing w:after="240"/>
        <w:jc w:val="center"/>
      </w:pPr>
      <w:r>
        <w:rPr>
          <w:rFonts w:ascii="Malgun Gothic" w:hAnsi="Malgun Gothic" w:eastAsia="Malgun Gothic"/>
          <w:sz w:val="22"/>
        </w:rPr>
        <w:t>WIMS 2.0 개선 방향 및 1차 범위 검토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81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1"/>
              </w:rPr>
              <w:t>회의 일자</w:t>
            </w:r>
          </w:p>
        </w:tc>
        <w:tc>
          <w:tcPr>
            <w:tcW w:type="dxa" w:w="481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2026년 4월 13일</w:t>
            </w:r>
          </w:p>
        </w:tc>
      </w:tr>
      <w:tr>
        <w:tc>
          <w:tcPr>
            <w:tcW w:type="dxa" w:w="481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1"/>
              </w:rPr>
              <w:t>회의 목적</w:t>
            </w:r>
          </w:p>
        </w:tc>
        <w:tc>
          <w:tcPr>
            <w:tcW w:type="dxa" w:w="481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WIMS 2.0 1차 구축 범위와 자재/단가/공정 표준화 방향 검토</w:t>
            </w:r>
          </w:p>
        </w:tc>
      </w:tr>
      <w:tr>
        <w:tc>
          <w:tcPr>
            <w:tcW w:type="dxa" w:w="481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1"/>
              </w:rPr>
              <w:t>개발사 참석자</w:t>
            </w:r>
          </w:p>
        </w:tc>
        <w:tc>
          <w:tcPr>
            <w:tcW w:type="dxa" w:w="481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이상락, 김지광, 김진호, 김성현</w:t>
            </w:r>
          </w:p>
        </w:tc>
      </w:tr>
      <w:tr>
        <w:tc>
          <w:tcPr>
            <w:tcW w:type="dxa" w:w="481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1"/>
              </w:rPr>
              <w:t>클라이언트 참석자</w:t>
            </w:r>
          </w:p>
        </w:tc>
        <w:tc>
          <w:tcPr>
            <w:tcW w:type="dxa" w:w="481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유미숙, 임유화, 신준섭, 이기민</w:t>
            </w:r>
          </w:p>
        </w:tc>
      </w:tr>
      <w:tr>
        <w:tc>
          <w:tcPr>
            <w:tcW w:type="dxa" w:w="481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1"/>
              </w:rPr>
              <w:t>공유 대상</w:t>
            </w:r>
          </w:p>
        </w:tc>
        <w:tc>
          <w:tcPr>
            <w:tcW w:type="dxa" w:w="481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내부 개발팀 및 외부 클라이언트 공용</w:t>
            </w:r>
          </w:p>
        </w:tc>
      </w:tr>
    </w:tbl>
    <w:p>
      <w:pPr>
        <w:spacing w:before="240" w:after="120"/>
      </w:pPr>
      <w:r>
        <w:rPr>
          <w:rFonts w:ascii="Malgun Gothic" w:hAnsi="Malgun Gothic" w:eastAsia="Malgun Gothic"/>
          <w:b/>
          <w:color w:val="1F1F1F"/>
          <w:sz w:val="28"/>
        </w:rPr>
        <w:t>1. 회의 개요</w:t>
      </w:r>
    </w:p>
    <w:p>
      <w:pPr>
        <w:spacing w:line="324" w:lineRule="auto" w:after="80"/>
      </w:pPr>
      <w:r>
        <w:rPr>
          <w:rFonts w:ascii="Malgun Gothic" w:hAnsi="Malgun Gothic" w:eastAsia="Malgun Gothic"/>
          <w:b/>
          <w:sz w:val="21"/>
        </w:rPr>
        <w:t xml:space="preserve">회의 성격: </w:t>
      </w:r>
      <w:r>
        <w:rPr>
          <w:rFonts w:ascii="Malgun Gothic" w:hAnsi="Malgun Gothic" w:eastAsia="Malgun Gothic"/>
          <w:sz w:val="21"/>
        </w:rPr>
        <w:t>WIMS 2.0 1차 구축 범위 및 기준 데이터 정비 방향 협의</w:t>
      </w:r>
    </w:p>
    <w:p>
      <w:pPr>
        <w:spacing w:line="324" w:lineRule="auto" w:after="80"/>
      </w:pPr>
      <w:r>
        <w:rPr>
          <w:rFonts w:ascii="Malgun Gothic" w:hAnsi="Malgun Gothic" w:eastAsia="Malgun Gothic"/>
          <w:b/>
          <w:sz w:val="21"/>
        </w:rPr>
        <w:t xml:space="preserve">주요 안건: </w:t>
      </w:r>
      <w:r>
        <w:rPr>
          <w:rFonts w:ascii="Malgun Gothic" w:hAnsi="Malgun Gothic" w:eastAsia="Malgun Gothic"/>
          <w:sz w:val="21"/>
        </w:rPr>
        <w:t>16개 요구사항 기준 1차 적용 범위, 자재/제품/단가/공정 관리 체계, 표준화 및 자료 수집 방향</w:t>
      </w:r>
    </w:p>
    <w:p>
      <w:pPr>
        <w:spacing w:before="240" w:after="120"/>
      </w:pPr>
      <w:r>
        <w:rPr>
          <w:rFonts w:ascii="Malgun Gothic" w:hAnsi="Malgun Gothic" w:eastAsia="Malgun Gothic"/>
          <w:b/>
          <w:color w:val="1F1F1F"/>
          <w:sz w:val="28"/>
        </w:rPr>
        <w:t>2. 안건별 정리</w:t>
      </w:r>
    </w:p>
    <w:p>
      <w:pPr>
        <w:spacing w:before="160" w:after="120"/>
      </w:pPr>
      <w:r>
        <w:rPr>
          <w:rFonts w:ascii="Malgun Gothic" w:hAnsi="Malgun Gothic" w:eastAsia="Malgun Gothic"/>
          <w:b/>
          <w:color w:val="1F1F1F"/>
          <w:sz w:val="23"/>
        </w:rPr>
        <w:t>2.1 1차 범위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총 요구사항 약 16건 기준으로 1차 범위와 후속 범위 구분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1차 우선 항목: 원자재 관리, 부자재 관리, 구매처/거래처 관리, 자재 코드 체계, 자재 등록 간소화, 복사 기능, 단가 관리, 공정 관리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고도화 항목 및 예외 케이스 대응은 후속 단계로 분리 검토</w:t>
      </w:r>
    </w:p>
    <w:p>
      <w:pPr>
        <w:spacing w:before="160" w:after="120"/>
      </w:pPr>
      <w:r>
        <w:rPr>
          <w:rFonts w:ascii="Malgun Gothic" w:hAnsi="Malgun Gothic" w:eastAsia="Malgun Gothic"/>
          <w:b/>
          <w:color w:val="1F1F1F"/>
          <w:sz w:val="23"/>
        </w:rPr>
        <w:t>2.2 자재 및 부자재 관리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원자재와 부자재 메뉴 분리 운영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등록, 수정, 삭제, 목록 조회 기능 포함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원자재는 알루미늄, 프로파일, 유리 등 규격 중심 관리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부자재는 실리콘, 접착제 등 별도 성격 품목 중심 관리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기존의 반복 입력과 관리 복잡도 축소 필요</w:t>
      </w:r>
    </w:p>
    <w:p>
      <w:pPr>
        <w:spacing w:before="160" w:after="120"/>
      </w:pPr>
      <w:r>
        <w:rPr>
          <w:rFonts w:ascii="Malgun Gothic" w:hAnsi="Malgun Gothic" w:eastAsia="Malgun Gothic"/>
          <w:b/>
          <w:color w:val="1F1F1F"/>
          <w:sz w:val="23"/>
        </w:rPr>
        <w:t>2.3 코드 체계 및 제품 분류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자재 등록 시 자동 코드 부여 기능 적용 가능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자동 코드 부여 정책은 클라이언트 제공 기준 필요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자재 코드는 중복되지 않는 유일값 체계로 관리 필요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부자재 포함 전체 코드 체계 표준화 필요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제품 분류는 대/중/소 또는 카테고리 체계 기반 정리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제품 코드명은 나라장터 종합쇼핑몰 계약 명칭 및 코드 기준 유지 필요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제품 코드명 자체는 임의 변경 불가</w:t>
      </w:r>
    </w:p>
    <w:p>
      <w:pPr>
        <w:spacing w:before="160" w:after="120"/>
      </w:pPr>
      <w:r>
        <w:rPr>
          <w:rFonts w:ascii="Malgun Gothic" w:hAnsi="Malgun Gothic" w:eastAsia="Malgun Gothic"/>
          <w:b/>
          <w:color w:val="1F1F1F"/>
          <w:sz w:val="23"/>
        </w:rPr>
        <w:t>2.4 등록 간소화 및 복사 기능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자재 등록 화면 단순화 추진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필수 입력 항목은 유지하되 사용성 중심으로 재구성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기존 자재 또는 기존 제품 구성 복사 후 일부 항목만 수정하는 방식 필요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파생 품목이 많은 구조상 복사 기반 등록이 핵심 기능으로 판단</w:t>
      </w:r>
    </w:p>
    <w:p>
      <w:pPr>
        <w:spacing w:before="160" w:after="120"/>
      </w:pPr>
      <w:r>
        <w:rPr>
          <w:rFonts w:ascii="Malgun Gothic" w:hAnsi="Malgun Gothic" w:eastAsia="Malgun Gothic"/>
          <w:b/>
          <w:color w:val="1F1F1F"/>
          <w:sz w:val="23"/>
        </w:rPr>
        <w:t>2.5 단가 관리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거래처별 단가 변경 관리 기능 필요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변경 단가를 수동 입력 방식으로 관리하고 관련 자재에 반영하는 구조 필요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설계 시점 단가, 실행예산/계약 체결 시점 단가, 실제 발주 시점 단가 간 차이 반영 정책 필요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기존 설계 건은 당시 단가 유지, 이후 건은 변경 단가 적용하는 시점 기준 관리 검토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설계 진행 중 단가 변경 시 일괄 반영 또는 버전 분리 처리 기준 필요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메일 및 계약서 기반 변경 방식으로 인해 거래처 연계 자동 업데이트는 사실상 불가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단가 변경 관리는 수동 입력을 기본 정책으로 검토</w:t>
      </w:r>
    </w:p>
    <w:p>
      <w:pPr>
        <w:spacing w:before="160" w:after="120"/>
      </w:pPr>
      <w:r>
        <w:rPr>
          <w:rFonts w:ascii="Malgun Gothic" w:hAnsi="Malgun Gothic" w:eastAsia="Malgun Gothic"/>
          <w:b/>
          <w:color w:val="1F1F1F"/>
          <w:sz w:val="23"/>
        </w:rPr>
        <w:t>2.6 공정 관리 및 BOM 구조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공정 관리 기능은 신규 범주로 검토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절단, 피스 작업, 실리콘 작업, 널링 등 제조 공정 단위 관리 필요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공정별 비용 산정 기준 등록 필요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제품 구성은 자재, 부자재, 공정, 옵션을 포함하는 BOM 구조로 관리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변경 이력, 버전, 승인 흐름, 담당자 추적 기능 필요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표준화 가능한 공정과 구성은 최대한 표준화, 예외 항목은 별도 처리</w:t>
      </w:r>
    </w:p>
    <w:p>
      <w:pPr>
        <w:spacing w:before="160" w:after="120"/>
      </w:pPr>
      <w:r>
        <w:rPr>
          <w:rFonts w:ascii="Malgun Gothic" w:hAnsi="Malgun Gothic" w:eastAsia="Malgun Gothic"/>
          <w:b/>
          <w:color w:val="1F1F1F"/>
          <w:sz w:val="23"/>
        </w:rPr>
        <w:t>2.7 설계-제작 연계 및 표준화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목표 방향: 설계 데이터가 제작 및 공장 단계까지 연결되는 구조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실측 사이즈 및 기준값 입력 후 후속 공정 자동 연계 목표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커튼월은 복잡한 전체 형태보다 표준형 가이드 우선 정의 필요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보강재 적용 여부는 티크니스 외에도 지역별 바람계수, 층고 등 복합 조건을 함께 반영하는 정책 필요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기존 엑셀 수식 기반 계산 로직과 기준 정책을 시스템에 반영할 수 있도록 자료 확보 필요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보강재 자동 반영 및 표시가 가능하도록 높이 기준, 풍하중 기준, 예외 처리 기준 정리 필요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버전 관리 과정에서 설계 부담이 늘지 않도록 각파이프, 보강재, 압출 관련 자료의 사전 등록 필요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대표 제품, 파생 형태, 예외 사례를 최대한 많이 수집하여 표준화 범위 확정 필요</w:t>
      </w:r>
    </w:p>
    <w:p>
      <w:pPr>
        <w:spacing w:before="240" w:after="120"/>
      </w:pPr>
      <w:r>
        <w:rPr>
          <w:rFonts w:ascii="Malgun Gothic" w:hAnsi="Malgun Gothic" w:eastAsia="Malgun Gothic"/>
          <w:b/>
          <w:color w:val="1F1F1F"/>
          <w:sz w:val="28"/>
        </w:rPr>
        <w:t>3. 결정 및 공감 사항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1차 구축은 기능 추가보다 기준 데이터와 관리 체계 정비에 우선순위 부여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자재, 제품, 단가, 공정은 분리 운영이 아니라 연계 구조로 설계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복사 기능, 시점 기준 단가 관리, 버전 관리, 공정 관리가 핵심 축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표준화 가능한 범위는 최대한 표준화하고, 예외 사항은 사례 기반으로 별도 정리</w:t>
      </w:r>
    </w:p>
    <w:p>
      <w:pPr>
        <w:spacing w:before="240" w:after="120"/>
      </w:pPr>
      <w:r>
        <w:rPr>
          <w:rFonts w:ascii="Malgun Gothic" w:hAnsi="Malgun Gothic" w:eastAsia="Malgun Gothic"/>
          <w:b/>
          <w:color w:val="1F1F1F"/>
          <w:sz w:val="28"/>
        </w:rPr>
        <w:t>4. 요청 및 후속 과제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자재/부자재 분류 기준 및 필수 입력 항목 확정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자재 코드 및 제품 코드 자동 생성 규칙 정의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자재 자동 코드 부여 정책 및 유일값 기준 정리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나라장터 종합쇼핑몰 계약 명칭 및 코드 유지 기준 반영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단가 변경 시점별 적용 원칙 정리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공정 항목, 공정 단가, 공정 세트 기준 정리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커튼월 표준형 가이드 정리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보강재 자동 반영을 위한 엑셀 수식, 높이 기준, 풍하중 기준, 정책 자료 정리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각파이프, 압출, 보강재 관련 자료 사전 등록용 목록 수집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대표 제품 및 예외 사례 자료 추가 수집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자료 요청과 피드백 전달 채널 단일화 검토</w:t>
      </w:r>
    </w:p>
    <w:p>
      <w:pPr>
        <w:spacing w:before="240" w:after="120"/>
      </w:pPr>
      <w:r>
        <w:rPr>
          <w:rFonts w:ascii="Malgun Gothic" w:hAnsi="Malgun Gothic" w:eastAsia="Malgun Gothic"/>
          <w:b/>
          <w:color w:val="1F1F1F"/>
          <w:sz w:val="28"/>
        </w:rPr>
        <w:t>5. 참고</w:t>
      </w:r>
    </w:p>
    <w:p>
      <w:pPr>
        <w:spacing w:line="324" w:lineRule="auto" w:after="80"/>
      </w:pPr>
      <w:r>
        <w:rPr>
          <w:rFonts w:ascii="Malgun Gothic" w:hAnsi="Malgun Gothic" w:eastAsia="Malgun Gothic"/>
          <w:b/>
          <w:sz w:val="21"/>
        </w:rPr>
        <w:t xml:space="preserve">작성 기준: </w:t>
      </w:r>
      <w:r>
        <w:rPr>
          <w:rFonts w:ascii="Malgun Gothic" w:hAnsi="Malgun Gothic" w:eastAsia="Malgun Gothic"/>
          <w:sz w:val="21"/>
        </w:rPr>
        <w:t>회의 녹음 내용 우선 반영, 자동 전사 텍스트는 보조 참고 자료로만 활용</w:t>
      </w:r>
    </w:p>
    <w:p>
      <w:pPr>
        <w:spacing w:line="324" w:lineRule="auto" w:after="80"/>
      </w:pPr>
      <w:r>
        <w:rPr>
          <w:rFonts w:ascii="Malgun Gothic" w:hAnsi="Malgun Gothic" w:eastAsia="Malgun Gothic"/>
          <w:b/>
          <w:sz w:val="21"/>
        </w:rPr>
        <w:t xml:space="preserve">유의 사항: </w:t>
      </w:r>
      <w:r>
        <w:rPr>
          <w:rFonts w:ascii="Malgun Gothic" w:hAnsi="Malgun Gothic" w:eastAsia="Malgun Gothic"/>
          <w:sz w:val="21"/>
        </w:rPr>
        <w:t>오인식 가능성이 높은 문구는 제외하고, 반복 확인된 핵심 안건만 반영</w:t>
      </w:r>
    </w:p>
    <w:p>
      <w:pPr>
        <w:sectPr>
          <w:footerReference w:type="default" r:id="rId9"/>
          <w:pgSz w:w="12240" w:h="15840"/>
          <w:pgMar w:top="1247" w:right="1304" w:bottom="1134" w:left="1304" w:header="720" w:footer="720" w:gutter="0"/>
          <w:cols w:space="720"/>
          <w:docGrid w:linePitch="360"/>
        </w:sectPr>
      </w:pPr>
    </w:p>
    <w:sectPr w:rsidR="00FC693F" w:rsidRPr="0006063C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666666"/>
        <w:sz w:val="18"/>
      </w:rPr>
      <w:t>유니크시스템 회의록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