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90.4" w:lineRule="auto"/>
        <w:rPr/>
      </w:pPr>
      <w:bookmarkStart w:colFirst="0" w:colLast="0" w:name="_pghmc5geck01" w:id="0"/>
      <w:bookmarkEnd w:id="0"/>
      <w:r w:rsidDel="00000000" w:rsidR="00000000" w:rsidRPr="00000000">
        <w:rPr>
          <w:rtl w:val="0"/>
        </w:rPr>
        <w:t xml:space="preserve">Horeca1 Shareable Cards — Spec v1.0 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2"/>
        </w:numPr>
        <w:spacing w:after="0" w:before="0" w:line="290.4" w:lineRule="auto"/>
        <w:ind w:left="720" w:hanging="360"/>
        <w:rPr>
          <w:u w:val="none"/>
        </w:rPr>
      </w:pPr>
      <w:bookmarkStart w:colFirst="0" w:colLast="0" w:name="_em772yvyqydk" w:id="1"/>
      <w:bookmarkEnd w:id="1"/>
      <w:r w:rsidDel="00000000" w:rsidR="00000000" w:rsidRPr="00000000">
        <w:rPr>
          <w:rtl w:val="0"/>
        </w:rPr>
        <w:t xml:space="preserve">Supplier Store, 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2"/>
        </w:numPr>
        <w:spacing w:after="0" w:before="0" w:line="290.4" w:lineRule="auto"/>
        <w:ind w:left="720" w:hanging="360"/>
        <w:rPr>
          <w:u w:val="none"/>
        </w:rPr>
      </w:pPr>
      <w:bookmarkStart w:colFirst="0" w:colLast="0" w:name="_xxcxd8jkp904" w:id="2"/>
      <w:bookmarkEnd w:id="2"/>
      <w:r w:rsidDel="00000000" w:rsidR="00000000" w:rsidRPr="00000000">
        <w:rPr>
          <w:rtl w:val="0"/>
        </w:rPr>
        <w:t xml:space="preserve">Product &amp; 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2"/>
        </w:numPr>
        <w:spacing w:after="0" w:before="0" w:line="290.4" w:lineRule="auto"/>
        <w:ind w:left="720" w:hanging="360"/>
        <w:rPr>
          <w:u w:val="none"/>
        </w:rPr>
      </w:pPr>
      <w:bookmarkStart w:colFirst="0" w:colLast="0" w:name="_90lnnbkocfzu" w:id="3"/>
      <w:bookmarkEnd w:id="3"/>
      <w:r w:rsidDel="00000000" w:rsidR="00000000" w:rsidRPr="00000000">
        <w:rPr>
          <w:rtl w:val="0"/>
        </w:rPr>
        <w:t xml:space="preserve">Brand Store </w:t>
      </w:r>
    </w:p>
    <w:p w:rsidR="00000000" w:rsidDel="00000000" w:rsidP="00000000" w:rsidRDefault="00000000" w:rsidRPr="00000000" w14:paraId="00000005">
      <w:pPr>
        <w:spacing w:after="0" w:before="0" w:line="290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90.4" w:lineRule="auto"/>
        <w:rPr/>
      </w:pPr>
      <w:r w:rsidDel="00000000" w:rsidR="00000000" w:rsidRPr="00000000">
        <w:rPr>
          <w:rtl w:val="0"/>
        </w:rPr>
        <w:t xml:space="preserve">Companion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Horeca1_Voices_Feature_Spec_v1</w:t>
      </w:r>
      <w:r w:rsidDel="00000000" w:rsidR="00000000" w:rsidRPr="00000000">
        <w:rPr>
          <w:rtl w:val="0"/>
        </w:rPr>
        <w:t xml:space="preserve">. That spec built the first shareable-card pipeline (for Voices); this spec extends it to three more content types. Read the Voices spec first if you haven't built that pipeline yet — this doc assumes it exists.</w:t>
      </w:r>
    </w:p>
    <w:p w:rsidR="00000000" w:rsidDel="00000000" w:rsidP="00000000" w:rsidRDefault="00000000" w:rsidRPr="00000000" w14:paraId="00000007">
      <w:pPr>
        <w:pStyle w:val="Heading2"/>
        <w:spacing w:after="0" w:before="0" w:line="290.4" w:lineRule="auto"/>
        <w:rPr/>
      </w:pPr>
      <w:bookmarkStart w:colFirst="0" w:colLast="0" w:name="_r6qqmvwg6sh4" w:id="4"/>
      <w:bookmarkEnd w:id="4"/>
      <w:r w:rsidDel="00000000" w:rsidR="00000000" w:rsidRPr="00000000">
        <w:rPr>
          <w:rtl w:val="0"/>
        </w:rPr>
        <w:t xml:space="preserve">Core principle: reuse the pipeline, not the card</w:t>
      </w:r>
    </w:p>
    <w:p w:rsidR="00000000" w:rsidDel="00000000" w:rsidP="00000000" w:rsidRDefault="00000000" w:rsidRPr="00000000" w14:paraId="00000008">
      <w:pPr>
        <w:spacing w:after="0" w:before="0" w:line="290.4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underlying mechanism (template → server-render → CDN → share button + og:image) is generic infrastructure. It doesn't care what it's rendering. Build it once, point it at four different templates (Voices, Store, Product, Brand Store) — do not build four separate image-generation systems.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Horeca1_Voices_Feature_Spec_v1</w:t>
      </w:r>
      <w:r w:rsidDel="00000000" w:rsidR="00000000" w:rsidRPr="00000000">
        <w:rPr>
          <w:rtl w:val="0"/>
        </w:rPr>
        <w:t xml:space="preserve"> Section 6 for the full technical pipeline (recommended tooling: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@vercel/og</w:t>
      </w:r>
      <w:r w:rsidDel="00000000" w:rsidR="00000000" w:rsidRPr="00000000">
        <w:rPr>
          <w:rtl w:val="0"/>
        </w:rPr>
        <w:t xml:space="preserve"> given the Next.js stack, or a headless-browser render as an alternative).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90.4" w:lineRule="auto"/>
        <w:rPr/>
      </w:pPr>
      <w:r w:rsidDel="00000000" w:rsidR="00000000" w:rsidRPr="00000000">
        <w:rPr>
          <w:rtl w:val="0"/>
        </w:rPr>
        <w:t xml:space="preserve">But the </w:t>
      </w:r>
      <w:r w:rsidDel="00000000" w:rsidR="00000000" w:rsidRPr="00000000">
        <w:rPr>
          <w:b w:val="1"/>
          <w:bCs w:val="1"/>
          <w:rtl w:val="0"/>
        </w:rPr>
        <w:t xml:space="preserve">card design</w:t>
      </w:r>
      <w:r w:rsidDel="00000000" w:rsidR="00000000" w:rsidRPr="00000000">
        <w:rPr>
          <w:rtl w:val="0"/>
        </w:rPr>
        <w:t xml:space="preserve"> for each should be different, because they solve different psychological jobs, not the same job with different photos: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Voices card</w:t>
      </w:r>
      <w:r w:rsidDel="00000000" w:rsidR="00000000" w:rsidRPr="00000000">
        <w:rPr>
          <w:rtl w:val="0"/>
        </w:rPr>
        <w:t xml:space="preserve"> = pride/status. A person wants to look good.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Store card</w:t>
      </w:r>
      <w:r w:rsidDel="00000000" w:rsidR="00000000" w:rsidRPr="00000000">
        <w:rPr>
          <w:rtl w:val="0"/>
        </w:rPr>
        <w:t xml:space="preserve"> = trust/promotion. A vendor wants buyers to trust and choose them.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card</w:t>
      </w:r>
      <w:r w:rsidDel="00000000" w:rsidR="00000000" w:rsidRPr="00000000">
        <w:rPr>
          <w:rtl w:val="0"/>
        </w:rPr>
        <w:t xml:space="preserve"> = transactional/deal-driven. A buyer wants to flag a good price to someone else.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Store card</w:t>
      </w:r>
      <w:r w:rsidDel="00000000" w:rsidR="00000000" w:rsidRPr="00000000">
        <w:rPr>
          <w:rtl w:val="0"/>
        </w:rPr>
        <w:t xml:space="preserve"> = network/distribution. A brand wants to announce reach.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90.4" w:lineRule="auto"/>
        <w:rPr/>
      </w:pPr>
      <w:r w:rsidDel="00000000" w:rsidR="00000000" w:rsidRPr="00000000">
        <w:rPr>
          <w:rtl w:val="0"/>
        </w:rPr>
        <w:t xml:space="preserve">Same pipeline underneath, four different templates on top — each tuned to the job it's actually doing.</w:t>
      </w:r>
    </w:p>
    <w:p w:rsidR="00000000" w:rsidDel="00000000" w:rsidP="00000000" w:rsidRDefault="00000000" w:rsidRPr="00000000" w14:paraId="00000012">
      <w:pPr>
        <w:pStyle w:val="Heading2"/>
        <w:spacing w:after="0" w:before="0" w:line="290.4" w:lineRule="auto"/>
        <w:rPr/>
      </w:pPr>
      <w:bookmarkStart w:colFirst="0" w:colLast="0" w:name="_x3vmnnp6j6kj" w:id="5"/>
      <w:bookmarkEnd w:id="5"/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13">
      <w:pPr>
        <w:spacing w:after="0" w:before="0" w:line="290.4" w:lineRule="auto"/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Supplier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Brand Store</w:t>
      </w:r>
      <w:r w:rsidDel="00000000" w:rsidR="00000000" w:rsidRPr="00000000">
        <w:rPr>
          <w:rtl w:val="0"/>
        </w:rPr>
        <w:t xml:space="preserve"> first. Both are direct expressions of features already core to the business model — the Vendor-Powered Promo Module and the Brand Store distributor-mapping value prop — so they carry real strategic weight, not just nice-to-have virality.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is a reasonable third: it's incremental (deal-sharing) rather than tied to a core differentiator, so it can follow once the other two are live.</w:t>
      </w:r>
    </w:p>
    <w:p w:rsidR="00000000" w:rsidDel="00000000" w:rsidP="00000000" w:rsidRDefault="00000000" w:rsidRPr="00000000" w14:paraId="00000014">
      <w:pPr>
        <w:pStyle w:val="Heading2"/>
        <w:spacing w:after="0" w:before="0" w:line="290.4" w:lineRule="auto"/>
        <w:rPr/>
      </w:pPr>
      <w:bookmarkStart w:colFirst="0" w:colLast="0" w:name="_mjrhyjs1ydb7" w:id="6"/>
      <w:bookmarkEnd w:id="6"/>
      <w:r w:rsidDel="00000000" w:rsidR="00000000" w:rsidRPr="00000000">
        <w:rPr>
          <w:rtl w:val="0"/>
        </w:rPr>
        <w:t xml:space="preserve">1. Supplier Store Card</w:t>
      </w:r>
    </w:p>
    <w:p w:rsidR="00000000" w:rsidDel="00000000" w:rsidP="00000000" w:rsidRDefault="00000000" w:rsidRPr="00000000" w14:paraId="00000015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it does:</w:t>
      </w:r>
      <w:r w:rsidDel="00000000" w:rsidR="00000000" w:rsidRPr="00000000">
        <w:rPr>
          <w:rtl w:val="0"/>
        </w:rPr>
        <w:t xml:space="preserve"> builds trust and drives a specific vendor's own promotion — this is the actual delivery mechanism for a vendor running a coupon or cashback offer to share on their own WhatsApp/Instagram.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the share action lives:</w:t>
      </w:r>
      <w:r w:rsidDel="00000000" w:rsidR="00000000" w:rsidRPr="00000000">
        <w:rPr>
          <w:rtl w:val="0"/>
        </w:rPr>
        <w:t xml:space="preserve"> on the Store Page (see the Store Page spec/mockup), near the vendor's identity block — a share icon a vendor (or their staff) can tap to generate this card for their own outreach.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Store cover/logo image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Store name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Verified/trust badge (FSSAI/GST-verified, per the Store Page spec)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Trust stat line (e.g. "4.3★ · 312 reviews · 9+ years")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Top 2–3 categories the store deals in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Whatever promo is currently live</w:t>
      </w:r>
      <w:r w:rsidDel="00000000" w:rsidR="00000000" w:rsidRPr="00000000">
        <w:rPr>
          <w:rtl w:val="0"/>
        </w:rPr>
        <w:t xml:space="preserve"> (e.g. "Flat 10% off orders above ₹3,000") — this is the field that matters most; an empty "come check us out" card is much weaker than a live, time-bound offer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Horeca1 wordmark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 code / short URL → routes to the Store Page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Formats:</w:t>
      </w:r>
      <w:r w:rsidDel="00000000" w:rsidR="00000000" w:rsidRPr="00000000">
        <w:rPr>
          <w:rtl w:val="0"/>
        </w:rPr>
        <w:t xml:space="preserve"> same two as Voices — 1080×1920 (Story) and 1080×1080 (feed post) — same safe-zone rule applies to the Story format (keep dynamic content out of the top ~50px / bottom ~70px, where platform UI overlays).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on the card:</w:t>
      </w:r>
      <w:r w:rsidDel="00000000" w:rsidR="00000000" w:rsidRPr="00000000">
        <w:rPr>
          <w:rtl w:val="0"/>
        </w:rPr>
        <w:t xml:space="preserve"> "Order from us on Horeca1."</w:t>
      </w:r>
    </w:p>
    <w:p w:rsidR="00000000" w:rsidDel="00000000" w:rsidP="00000000" w:rsidRDefault="00000000" w:rsidRPr="00000000" w14:paraId="00000027">
      <w:pPr>
        <w:pStyle w:val="Heading2"/>
        <w:spacing w:after="0" w:before="0" w:line="290.4" w:lineRule="auto"/>
        <w:rPr/>
      </w:pPr>
      <w:bookmarkStart w:colFirst="0" w:colLast="0" w:name="_21wn4ali1u6n" w:id="7"/>
      <w:bookmarkEnd w:id="7"/>
      <w:r w:rsidDel="00000000" w:rsidR="00000000" w:rsidRPr="00000000">
        <w:rPr>
          <w:rtl w:val="0"/>
        </w:rPr>
        <w:t xml:space="preserve">2. Product Card</w:t>
      </w:r>
    </w:p>
    <w:p w:rsidR="00000000" w:rsidDel="00000000" w:rsidP="00000000" w:rsidRDefault="00000000" w:rsidRPr="00000000" w14:paraId="00000028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it does:</w:t>
      </w:r>
      <w:r w:rsidDel="00000000" w:rsidR="00000000" w:rsidRPr="00000000">
        <w:rPr>
          <w:rtl w:val="0"/>
        </w:rPr>
        <w:t xml:space="preserve"> transactional — a buyer flags a good price or deal to someone else, not a status or trust play.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the share action lives:</w:t>
      </w:r>
      <w:r w:rsidDel="00000000" w:rsidR="00000000" w:rsidRPr="00000000">
        <w:rPr>
          <w:rtl w:val="0"/>
        </w:rPr>
        <w:t xml:space="preserve"> on the Product Card itself (Design System §3.2) and/or the Store's product grid — a share icon alongside the existing wishlist/quick-order icons.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Product photo (can be more visually generous here than the other three cards — food photography does real work)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Product name + pack size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Price, with any discount or best bulk-rate tier highlighted (reuse the bulk-pricing logic already in the Product Card spec)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"Sold by [Vendor Name]"</w:t>
      </w:r>
      <w:r w:rsidDel="00000000" w:rsidR="00000000" w:rsidRPr="00000000">
        <w:rPr>
          <w:rtl w:val="0"/>
        </w:rPr>
        <w:t xml:space="preserve"> — mandatory, not optional. Since Horeca1 is store-centric not product-centric, a shared product card must never imply the product comes from Horeca1 directly rather than a specific supplier.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Horeca1 wordmark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 code / short URL → routes to that Product's page (within that Store)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Formats:</w:t>
      </w:r>
      <w:r w:rsidDel="00000000" w:rsidR="00000000" w:rsidRPr="00000000">
        <w:rPr>
          <w:rtl w:val="0"/>
        </w:rPr>
        <w:t xml:space="preserve"> same two as above.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on the card:</w:t>
      </w:r>
      <w:r w:rsidDel="00000000" w:rsidR="00000000" w:rsidRPr="00000000">
        <w:rPr>
          <w:rtl w:val="0"/>
        </w:rPr>
        <w:t xml:space="preserve"> "Buy this on Horeca1" or similar — deliberately more modest than the Voices/Store CTAs, since this card's job is smaller (flag a deal) not larger (build a relationship).</w:t>
      </w:r>
    </w:p>
    <w:p w:rsidR="00000000" w:rsidDel="00000000" w:rsidP="00000000" w:rsidRDefault="00000000" w:rsidRPr="00000000" w14:paraId="00000038">
      <w:pPr>
        <w:pStyle w:val="Heading2"/>
        <w:spacing w:after="0" w:before="0" w:line="290.4" w:lineRule="auto"/>
        <w:rPr/>
      </w:pPr>
      <w:bookmarkStart w:colFirst="0" w:colLast="0" w:name="_iqeh4a3qa6ez" w:id="8"/>
      <w:bookmarkEnd w:id="8"/>
      <w:r w:rsidDel="00000000" w:rsidR="00000000" w:rsidRPr="00000000">
        <w:rPr>
          <w:rtl w:val="0"/>
        </w:rPr>
        <w:t xml:space="preserve">3. Brand Store Card (added — not in original scope, worth prioritizing)</w:t>
      </w:r>
    </w:p>
    <w:p w:rsidR="00000000" w:rsidDel="00000000" w:rsidP="00000000" w:rsidRDefault="00000000" w:rsidRPr="00000000" w14:paraId="00000039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it does:</w:t>
      </w:r>
      <w:r w:rsidDel="00000000" w:rsidR="00000000" w:rsidRPr="00000000">
        <w:rPr>
          <w:rtl w:val="0"/>
        </w:rPr>
        <w:t xml:space="preserve"> network/distribution announcement. A brand's marketing team shares that they're on Horeca1 and where they can be bought — this is the literal expression of the pincode-wise distributor-mapping value prop that makes Brand Store your strongest differentiator.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the share action lives:</w:t>
      </w:r>
      <w:r w:rsidDel="00000000" w:rsidR="00000000" w:rsidRPr="00000000">
        <w:rPr>
          <w:rtl w:val="0"/>
        </w:rPr>
        <w:t xml:space="preserve"> on the Brand Store page, and optionally the Brand Store teaser card on the Homepage.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Brand logo/cover image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Brand name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Tagline / top categories or products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"Available via [N] vendors near you"</w:t>
      </w:r>
      <w:r w:rsidDel="00000000" w:rsidR="00000000" w:rsidRPr="00000000">
        <w:rPr>
          <w:rtl w:val="0"/>
        </w:rPr>
        <w:t xml:space="preserve"> — reuses the exact field already speced for the Brand Store homepage card (Design System / Homepage Blueprint) — this is the number that makes the card meaningful, analogous to the live promo on the Store card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tl w:val="0"/>
        </w:rPr>
        <w:t xml:space="preserve">Horeca1 wordmark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90.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 code / short URL → routes to the Brand Store page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Formats:</w:t>
      </w:r>
      <w:r w:rsidDel="00000000" w:rsidR="00000000" w:rsidRPr="00000000">
        <w:rPr>
          <w:rtl w:val="0"/>
        </w:rPr>
        <w:t xml:space="preserve"> same two as above.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90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on the card:</w:t>
      </w:r>
      <w:r w:rsidDel="00000000" w:rsidR="00000000" w:rsidRPr="00000000">
        <w:rPr>
          <w:rtl w:val="0"/>
        </w:rPr>
        <w:t xml:space="preserve"> "Find us on Horeca1."</w:t>
      </w:r>
    </w:p>
    <w:p w:rsidR="00000000" w:rsidDel="00000000" w:rsidP="00000000" w:rsidRDefault="00000000" w:rsidRPr="00000000" w14:paraId="00000049">
      <w:pPr>
        <w:pStyle w:val="Heading2"/>
        <w:spacing w:after="0" w:before="0" w:line="290.4" w:lineRule="auto"/>
        <w:rPr/>
      </w:pPr>
      <w:bookmarkStart w:colFirst="0" w:colLast="0" w:name="_37y9fjp76k6p" w:id="9"/>
      <w:bookmarkEnd w:id="9"/>
      <w:r w:rsidDel="00000000" w:rsidR="00000000" w:rsidRPr="00000000">
        <w:rPr>
          <w:rtl w:val="0"/>
        </w:rPr>
        <w:t xml:space="preserve">Summary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90.4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90.4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Psychological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90.4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Must-have dynamic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90.4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Pride /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Pull-quote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 / promotion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promo 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/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Vendor-count near you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Transactional / deal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 attribution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90.4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5E">
      <w:pPr>
        <w:spacing w:after="0" w:before="0" w:line="290.4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