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bottom w:color="d97736" w:space="0" w:sz="24" w:val="single"/>
            </w:tcBorders>
            <w:shd w:fill="363b46" w:val="clear"/>
            <w:tcMar>
              <w:top w:w="240.0" w:type="dxa"/>
              <w:left w:w="240.0" w:type="dxa"/>
              <w:bottom w:w="240.0" w:type="dxa"/>
              <w:right w:w="240.0" w:type="dxa"/>
            </w:tcMar>
          </w:tcPr>
          <w:p w:rsidR="00000000" w:rsidDel="00000000" w:rsidP="00000000" w:rsidRDefault="00000000" w:rsidRPr="00000000" w14:paraId="00000002">
            <w:pPr>
              <w:jc w:val="both"/>
              <w:rPr>
                <w:rFonts w:ascii="Arial" w:cs="Arial" w:eastAsia="Arial" w:hAnsi="Arial"/>
                <w:b w:val="1"/>
                <w:bCs w:val="1"/>
                <w:color w:val="ffffff"/>
                <w:sz w:val="26"/>
                <w:szCs w:val="26"/>
              </w:rPr>
            </w:pPr>
            <w:r w:rsidDel="00000000" w:rsidR="00000000" w:rsidRPr="00000000">
              <w:rPr>
                <w:rFonts w:ascii="Arial" w:cs="Arial" w:eastAsia="Arial" w:hAnsi="Arial"/>
                <w:b w:val="1"/>
                <w:bCs w:val="1"/>
                <w:color w:val="ffffff"/>
                <w:sz w:val="26"/>
                <w:szCs w:val="26"/>
                <w:rtl w:val="0"/>
              </w:rPr>
              <w:t xml:space="preserve">First-Party Coordination of Benefits: MedPay, PIP, ERISA, &amp; Medicare</w:t>
            </w:r>
          </w:p>
          <w:p w:rsidR="00000000" w:rsidDel="00000000" w:rsidP="00000000" w:rsidRDefault="00000000" w:rsidRPr="00000000" w14:paraId="00000003">
            <w:pPr>
              <w:jc w:val="both"/>
              <w:rPr>
                <w:b w:val="1"/>
                <w:bCs w:val="1"/>
                <w:color w:val="ffffff"/>
                <w:sz w:val="26"/>
                <w:szCs w:val="26"/>
              </w:rPr>
            </w:pPr>
            <w:r w:rsidDel="00000000" w:rsidR="00000000" w:rsidRPr="00000000">
              <w:rPr>
                <w:rtl w:val="0"/>
              </w:rPr>
            </w:r>
          </w:p>
          <w:p w:rsidR="00000000" w:rsidDel="00000000" w:rsidP="00000000" w:rsidRDefault="00000000" w:rsidRPr="00000000" w14:paraId="00000004">
            <w:pPr>
              <w:jc w:val="both"/>
              <w:rPr>
                <w:sz w:val="2"/>
                <w:szCs w:val="2"/>
              </w:rPr>
            </w:pPr>
            <w:r w:rsidDel="00000000" w:rsidR="00000000" w:rsidRPr="00000000">
              <w:rPr>
                <w:rFonts w:ascii="Arial" w:cs="Arial" w:eastAsia="Arial" w:hAnsi="Arial"/>
                <w:b w:val="1"/>
                <w:bCs w:val="1"/>
                <w:color w:val="ffffff"/>
                <w:rtl w:val="0"/>
              </w:rPr>
              <w:t xml:space="preserve">An Operational Roadmap for Case Managers</w:t>
            </w:r>
            <w:r w:rsidDel="00000000" w:rsidR="00000000" w:rsidRPr="00000000">
              <w:rPr>
                <w:rtl w:val="0"/>
              </w:rPr>
            </w:r>
          </w:p>
        </w:tc>
      </w:tr>
    </w:tbl>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rtl w:val="0"/>
        </w:rPr>
      </w:r>
    </w:p>
    <w:p w:rsidR="00000000" w:rsidDel="00000000" w:rsidP="00000000" w:rsidRDefault="00000000" w:rsidRPr="00000000" w14:paraId="00000006">
      <w:pPr>
        <w:spacing w:after="300" w:lineRule="auto"/>
        <w:jc w:val="both"/>
        <w:rPr/>
      </w:pPr>
      <w:r w:rsidDel="00000000" w:rsidR="00000000" w:rsidRPr="00000000">
        <w:rPr>
          <w:rtl w:val="0"/>
        </w:rPr>
        <w:t xml:space="preserve">Medical Payments (MedPay) coverage is a critical first-party contractual endorsement that functions as a no-fault cash pool for accident-related medical expenses. Strategic case management requires utilizing MedPay to cover the 20% copayments left by PIP, thereby insulating clients from medical debt. </w:t>
      </w:r>
    </w:p>
    <w:p w:rsidR="00000000" w:rsidDel="00000000" w:rsidP="00000000" w:rsidRDefault="00000000" w:rsidRPr="00000000" w14:paraId="00000007">
      <w:pPr>
        <w:spacing w:after="300" w:lineRule="auto"/>
        <w:jc w:val="both"/>
        <w:rPr/>
      </w:pPr>
      <w:r w:rsidDel="00000000" w:rsidR="00000000" w:rsidRPr="00000000">
        <w:rPr>
          <w:rtl w:val="0"/>
        </w:rPr>
        <w:t xml:space="preserve">Personal Injury Protection (PIP) provides initial statutory no-fault medical coverage, often leaving copayments behind. In contrast to these auto benefits, clients may also be covered by federal and private health plans, creating complex conflicts. Medicare, a federal program for the aged and disabled, enforces the strongest statutory lien under the Medicare Secondary Payer (MSP) Act, granting it primary reimbursement priority. </w:t>
      </w:r>
    </w:p>
    <w:p w:rsidR="00000000" w:rsidDel="00000000" w:rsidP="00000000" w:rsidRDefault="00000000" w:rsidRPr="00000000" w14:paraId="00000008">
      <w:pPr>
        <w:spacing w:after="300" w:lineRule="auto"/>
        <w:jc w:val="both"/>
        <w:rPr/>
      </w:pPr>
      <w:r w:rsidDel="00000000" w:rsidR="00000000" w:rsidRPr="00000000">
        <w:rPr>
          <w:rtl w:val="0"/>
        </w:rPr>
        <w:t xml:space="preserve">Furthermore, many employer-sponsored plans are governed by ERISA, which allows them to assert federal preemption over state subrogation laws. Strategic case management requires resolving this coordination of benefits and lien hierarchy to protect the client's final recovery.</w:t>
      </w:r>
    </w:p>
    <w:p w:rsidR="00000000" w:rsidDel="00000000" w:rsidP="00000000" w:rsidRDefault="00000000" w:rsidRPr="00000000" w14:paraId="00000009">
      <w:pPr>
        <w:pStyle w:val="Heading2"/>
        <w:rPr/>
      </w:pPr>
      <w:r w:rsidDel="00000000" w:rsidR="00000000" w:rsidRPr="00000000">
        <w:rPr>
          <w:rtl w:val="0"/>
        </w:rPr>
        <w:t xml:space="preserve">How Personal Injury Protection (PIP) Works</w:t>
      </w:r>
    </w:p>
    <w:p w:rsidR="00000000" w:rsidDel="00000000" w:rsidP="00000000" w:rsidRDefault="00000000" w:rsidRPr="00000000" w14:paraId="0000000A">
      <w:pPr>
        <w:rPr/>
      </w:pPr>
      <w:r w:rsidDel="00000000" w:rsidR="00000000" w:rsidRPr="00000000">
        <w:rPr>
          <w:rtl w:val="0"/>
        </w:rPr>
        <w:t xml:space="preserve">Personal Injury Protection (PIP) is a mandatory form of first-party, no-fault auto insurance coverage in specific states. Its primary function is to pay for immediate, accident-related expenses—including medical bills, lost wages, and other costs—regardless of who was at fault.</w:t>
      </w:r>
    </w:p>
    <w:p w:rsidR="00000000" w:rsidDel="00000000" w:rsidP="00000000" w:rsidRDefault="00000000" w:rsidRPr="00000000" w14:paraId="0000000B">
      <w:pPr>
        <w:pStyle w:val="Heading3"/>
        <w:rPr/>
      </w:pPr>
      <w:bookmarkStart w:colFirst="0" w:colLast="0" w:name="_rnjhff4iftb4" w:id="0"/>
      <w:bookmarkEnd w:id="0"/>
      <w:r w:rsidDel="00000000" w:rsidR="00000000" w:rsidRPr="00000000">
        <w:rPr>
          <w:rtl w:val="0"/>
        </w:rPr>
        <w:t xml:space="preserve">Key Mechanics and Strategic Implications</w:t>
      </w:r>
    </w:p>
    <w:p w:rsidR="00000000" w:rsidDel="00000000" w:rsidP="00000000" w:rsidRDefault="00000000" w:rsidRPr="00000000" w14:paraId="0000000C">
      <w:pPr>
        <w:numPr>
          <w:ilvl w:val="0"/>
          <w:numId w:val="7"/>
        </w:numPr>
        <w:ind w:left="720" w:hanging="360"/>
      </w:pPr>
      <w:r w:rsidDel="00000000" w:rsidR="00000000" w:rsidRPr="00000000">
        <w:rPr>
          <w:b w:val="1"/>
          <w:bCs w:val="1"/>
          <w:rtl w:val="0"/>
        </w:rPr>
        <w:t xml:space="preserve">Primary Payer Role: </w:t>
      </w:r>
      <w:r w:rsidDel="00000000" w:rsidR="00000000" w:rsidRPr="00000000">
        <w:rPr>
          <w:rtl w:val="0"/>
        </w:rPr>
        <w:t xml:space="preserve">PIP is legally designated as the primary payer for accident-related medical expenses in no-fault jurisdictions until its policy limits are completely exhausted.</w:t>
      </w:r>
    </w:p>
    <w:p w:rsidR="00000000" w:rsidDel="00000000" w:rsidP="00000000" w:rsidRDefault="00000000" w:rsidRPr="00000000" w14:paraId="0000000D">
      <w:pPr>
        <w:numPr>
          <w:ilvl w:val="0"/>
          <w:numId w:val="7"/>
        </w:numPr>
        <w:ind w:left="720" w:hanging="360"/>
      </w:pPr>
      <w:r w:rsidDel="00000000" w:rsidR="00000000" w:rsidRPr="00000000">
        <w:rPr>
          <w:b w:val="1"/>
          <w:bCs w:val="1"/>
          <w:rtl w:val="0"/>
        </w:rPr>
        <w:t xml:space="preserve">Coverage Limitations (EMC Gatekeeper): </w:t>
      </w:r>
      <w:r w:rsidDel="00000000" w:rsidR="00000000" w:rsidRPr="00000000">
        <w:rPr>
          <w:rtl w:val="0"/>
        </w:rPr>
        <w:t xml:space="preserve">PIP is heavily restricted by state statutes. Access to the full policy limits (e.g., $10,000) is often contingent upon a physician formally certifying an Emergency Medical Condition (EMC). Without an active EMC, the coverage can be legally hard-capped at a much lower amount (e.g., $2,500).</w:t>
      </w:r>
    </w:p>
    <w:p w:rsidR="00000000" w:rsidDel="00000000" w:rsidP="00000000" w:rsidRDefault="00000000" w:rsidRPr="00000000" w14:paraId="0000000E">
      <w:pPr>
        <w:numPr>
          <w:ilvl w:val="0"/>
          <w:numId w:val="7"/>
        </w:numPr>
        <w:ind w:left="720" w:hanging="360"/>
      </w:pPr>
      <w:r w:rsidDel="00000000" w:rsidR="00000000" w:rsidRPr="00000000">
        <w:rPr>
          <w:b w:val="1"/>
          <w:bCs w:val="1"/>
          <w:rtl w:val="0"/>
        </w:rPr>
        <w:t xml:space="preserve">Strategic Exhaustion: </w:t>
      </w:r>
      <w:r w:rsidDel="00000000" w:rsidR="00000000" w:rsidRPr="00000000">
        <w:rPr>
          <w:rtl w:val="0"/>
        </w:rPr>
        <w:t xml:space="preserve">Case management requires actively exhausting the PIP policy to $0.00. Failing to bill PIP for medical costs allows third-party liability carriers to claim a </w:t>
      </w:r>
      <w:r w:rsidDel="00000000" w:rsidR="00000000" w:rsidRPr="00000000">
        <w:rPr>
          <w:b w:val="1"/>
          <w:bCs w:val="1"/>
          <w:rtl w:val="0"/>
        </w:rPr>
        <w:t xml:space="preserve">Collateral Source Shield</w:t>
      </w:r>
      <w:r w:rsidDel="00000000" w:rsidR="00000000" w:rsidRPr="00000000">
        <w:rPr>
          <w:rtl w:val="0"/>
        </w:rPr>
        <w:t xml:space="preserve"> reduction, stripping that amount from the client's special damages baseline.</w:t>
      </w:r>
    </w:p>
    <w:p w:rsidR="00000000" w:rsidDel="00000000" w:rsidP="00000000" w:rsidRDefault="00000000" w:rsidRPr="00000000" w14:paraId="0000000F">
      <w:pPr>
        <w:numPr>
          <w:ilvl w:val="0"/>
          <w:numId w:val="7"/>
        </w:numPr>
        <w:ind w:left="720" w:hanging="360"/>
      </w:pPr>
      <w:r w:rsidDel="00000000" w:rsidR="00000000" w:rsidRPr="00000000">
        <w:rPr>
          <w:b w:val="1"/>
          <w:bCs w:val="1"/>
          <w:rtl w:val="0"/>
        </w:rPr>
        <w:t xml:space="preserve">Impact on Case Value: </w:t>
      </w:r>
      <w:r w:rsidDel="00000000" w:rsidR="00000000" w:rsidRPr="00000000">
        <w:rPr>
          <w:rtl w:val="0"/>
        </w:rPr>
        <w:t xml:space="preserve">A clean PIP log demonstrating full exhaustion mathematically proves the case required high-cost intervention, immediately elevating the case’s value profile for claims algorithms. Once exhausted, all subsequent care paid under a Letter of Protection (LOP) is categorized as unmitigated, out-of-pocket special damages, which increases the general damages multiplier.</w:t>
      </w:r>
    </w:p>
    <w:p w:rsidR="00000000" w:rsidDel="00000000" w:rsidP="00000000" w:rsidRDefault="00000000" w:rsidRPr="00000000" w14:paraId="00000010">
      <w:pPr>
        <w:numPr>
          <w:ilvl w:val="0"/>
          <w:numId w:val="7"/>
        </w:numPr>
        <w:ind w:left="720" w:hanging="360"/>
      </w:pPr>
      <w:r w:rsidDel="00000000" w:rsidR="00000000" w:rsidRPr="00000000">
        <w:rPr>
          <w:b w:val="1"/>
          <w:bCs w:val="1"/>
          <w:rtl w:val="0"/>
        </w:rPr>
        <w:t xml:space="preserve">Coordination with MedPay: </w:t>
      </w:r>
      <w:r w:rsidDel="00000000" w:rsidR="00000000" w:rsidRPr="00000000">
        <w:rPr>
          <w:rtl w:val="0"/>
        </w:rPr>
        <w:t xml:space="preserve">In states where PIP covers 80% of reasonable medical expenses, the strategic use of MedPay is to cover the remaining 20% copay. This dual-billing (80% to PIP, 20% to MedPay) fully satisfies the provider's ledger and prevents the client from incurring medical debt.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300" w:lineRule="auto"/>
        <w:jc w:val="both"/>
        <w:rPr/>
      </w:pPr>
      <w:r w:rsidDel="00000000" w:rsidR="00000000" w:rsidRPr="00000000">
        <w:rPr>
          <w:rtl w:val="0"/>
        </w:rPr>
        <w:t xml:space="preserve">1. The Strategic Routing Pipeline &amp; The 80/20 Copay Auto-Bridge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While Personal Injury Protection (PIP) is heavily restricted by statutory mandates (such as strict treatment windows and non-EMC caps), MedPay is governed entirely by the policy's contract language. It does not require an Emergency Medical Condition (EMC) gatekeeper signature to unlock its limits. Case Managers must actively direct these funds to prevent medical clinics from prematurely draining these clean, dollar-for-dollar cash pools on soft-tissue therapies when high-impact diagnostics or surgical interventions are required.</w:t>
      </w:r>
    </w:p>
    <w:p w:rsidR="00000000" w:rsidDel="00000000" w:rsidP="00000000" w:rsidRDefault="00000000" w:rsidRPr="00000000" w14:paraId="00000014">
      <w:pPr>
        <w:pStyle w:val="Heading3"/>
        <w:jc w:val="both"/>
        <w:rPr/>
      </w:pPr>
      <w:bookmarkStart w:colFirst="0" w:colLast="0" w:name="_tasw8s5jiwsz" w:id="1"/>
      <w:bookmarkEnd w:id="1"/>
      <w:r w:rsidDel="00000000" w:rsidR="00000000" w:rsidRPr="00000000">
        <w:rPr>
          <w:rtl w:val="0"/>
        </w:rPr>
        <w:t xml:space="preserve">PIP’s Mandated Limitations and Primary Payer Role</w:t>
      </w:r>
    </w:p>
    <w:p w:rsidR="00000000" w:rsidDel="00000000" w:rsidP="00000000" w:rsidRDefault="00000000" w:rsidRPr="00000000" w14:paraId="00000015">
      <w:pPr>
        <w:numPr>
          <w:ilvl w:val="0"/>
          <w:numId w:val="8"/>
        </w:numPr>
        <w:ind w:left="720" w:hanging="360"/>
        <w:jc w:val="both"/>
      </w:pPr>
      <w:r w:rsidDel="00000000" w:rsidR="00000000" w:rsidRPr="00000000">
        <w:rPr>
          <w:b w:val="1"/>
          <w:bCs w:val="1"/>
          <w:rtl w:val="0"/>
        </w:rPr>
        <w:t xml:space="preserve">Treatment Window Caps:</w:t>
      </w:r>
      <w:r w:rsidDel="00000000" w:rsidR="00000000" w:rsidRPr="00000000">
        <w:rPr>
          <w:rtl w:val="0"/>
        </w:rPr>
        <w:t xml:space="preserve"> Coverage often expires after a set timeframe (e.g., 14 days) unless an Emergency Medical Condition (EMC) is certified by a physician.</w:t>
      </w:r>
    </w:p>
    <w:p w:rsidR="00000000" w:rsidDel="00000000" w:rsidP="00000000" w:rsidRDefault="00000000" w:rsidRPr="00000000" w14:paraId="00000016">
      <w:pPr>
        <w:numPr>
          <w:ilvl w:val="0"/>
          <w:numId w:val="8"/>
        </w:numPr>
        <w:ind w:left="720" w:hanging="360"/>
        <w:jc w:val="both"/>
      </w:pPr>
      <w:r w:rsidDel="00000000" w:rsidR="00000000" w:rsidRPr="00000000">
        <w:rPr>
          <w:b w:val="1"/>
          <w:bCs w:val="1"/>
          <w:rtl w:val="0"/>
        </w:rPr>
        <w:t xml:space="preserve">Non-EMC Limits:</w:t>
      </w:r>
      <w:r w:rsidDel="00000000" w:rsidR="00000000" w:rsidRPr="00000000">
        <w:rPr>
          <w:rtl w:val="0"/>
        </w:rPr>
        <w:t xml:space="preserve"> If no EMC is certified, the maximum coverage amount can be drastically reduced (e.g., from $10,000 to $2,500).</w:t>
      </w:r>
    </w:p>
    <w:p w:rsidR="00000000" w:rsidDel="00000000" w:rsidP="00000000" w:rsidRDefault="00000000" w:rsidRPr="00000000" w14:paraId="00000017">
      <w:pPr>
        <w:numPr>
          <w:ilvl w:val="0"/>
          <w:numId w:val="8"/>
        </w:numPr>
        <w:ind w:left="720" w:hanging="360"/>
        <w:jc w:val="both"/>
      </w:pPr>
      <w:r w:rsidDel="00000000" w:rsidR="00000000" w:rsidRPr="00000000">
        <w:rPr>
          <w:b w:val="1"/>
          <w:bCs w:val="1"/>
          <w:rtl w:val="0"/>
        </w:rPr>
        <w:t xml:space="preserve">Primary Coverage Obligation:</w:t>
      </w:r>
      <w:r w:rsidDel="00000000" w:rsidR="00000000" w:rsidRPr="00000000">
        <w:rPr>
          <w:rtl w:val="0"/>
        </w:rPr>
        <w:t xml:space="preserve"> PIP is legally required to be the </w:t>
      </w:r>
      <w:r w:rsidDel="00000000" w:rsidR="00000000" w:rsidRPr="00000000">
        <w:rPr>
          <w:i w:val="1"/>
          <w:iCs w:val="1"/>
          <w:rtl w:val="0"/>
        </w:rPr>
        <w:t xml:space="preserve">primary</w:t>
      </w:r>
      <w:r w:rsidDel="00000000" w:rsidR="00000000" w:rsidRPr="00000000">
        <w:rPr>
          <w:rtl w:val="0"/>
        </w:rPr>
        <w:t xml:space="preserve"> payer for accident-related medical expenses in no-fault states until its limits are exhausted, only after which can health insurance (ERISA, Medicare, Private Health) be legitimately billed.</w:t>
      </w:r>
    </w:p>
    <w:p w:rsidR="00000000" w:rsidDel="00000000" w:rsidP="00000000" w:rsidRDefault="00000000" w:rsidRPr="00000000" w14:paraId="00000018">
      <w:pPr>
        <w:ind w:left="720" w:firstLine="0"/>
        <w:jc w:val="both"/>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The 20% Copay Auto-Bridge Workflow</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Core Mechanism:</w:t>
      </w:r>
      <w:r w:rsidDel="00000000" w:rsidR="00000000" w:rsidRPr="00000000">
        <w:rPr>
          <w:rtl w:val="0"/>
        </w:rPr>
        <w:t xml:space="preserve"> In states where PIP covers exactly 80% of reasonable medical expenses, MedPay should be deployed to cover the remaining 20% copay left behind.</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Step-by-Step Task:</w:t>
      </w:r>
      <w:r w:rsidDel="00000000" w:rsidR="00000000" w:rsidRPr="00000000">
        <w:rPr>
          <w:rtl w:val="0"/>
        </w:rPr>
        <w:t xml:space="preserve"> When onboarding treating clinics, the Legal Assistant must instruct the providers to bill the first-party auto carrier using a dual-billing layout: 80% to PIP and 20% to MedPay.</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Operational Benefit:</w:t>
      </w:r>
      <w:r w:rsidDel="00000000" w:rsidR="00000000" w:rsidRPr="00000000">
        <w:rPr>
          <w:rtl w:val="0"/>
        </w:rPr>
        <w:t xml:space="preserve"> This clean policy bridge satisfies the provider's account ledger down to $0.00 in real-time, completely insulating the client from aggressive medical debt collections during their active phase of care.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LOP / Specialized Care Pivot</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Workflow Strategy:</w:t>
      </w:r>
      <w:r w:rsidDel="00000000" w:rsidR="00000000" w:rsidRPr="00000000">
        <w:rPr>
          <w:rtl w:val="0"/>
        </w:rPr>
        <w:t xml:space="preserve"> If the client has secondary health insurance or minor initial chiropractic bills, the Case Manager can choose to withhold the MedPay policy limits by sending a formal </w:t>
      </w:r>
      <w:r w:rsidDel="00000000" w:rsidR="00000000" w:rsidRPr="00000000">
        <w:rPr>
          <w:b w:val="1"/>
          <w:bCs w:val="1"/>
          <w:rtl w:val="0"/>
        </w:rPr>
        <w:t xml:space="preserve">MedPay Hold Letter</w:t>
      </w:r>
      <w:r w:rsidDel="00000000" w:rsidR="00000000" w:rsidRPr="00000000">
        <w:rPr>
          <w:rtl w:val="0"/>
        </w:rPr>
        <w:t xml:space="preserve"> to the auto carrier.</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Operational Benefit:</w:t>
      </w:r>
      <w:r w:rsidDel="00000000" w:rsidR="00000000" w:rsidRPr="00000000">
        <w:rPr>
          <w:rtl w:val="0"/>
        </w:rPr>
        <w:t xml:space="preserve"> By holding the MedPay limits back from conservative providers, you preserve a liquid pool of first-party cash to pay for high-cost, advanced interventions directly—such as raw radiologist facility fees for MRIs or specialized interventional pain management injections—which providers would otherwise refuse to render without an upfront cash deposit or an extended Letter of Protection (LOP).</w:t>
      </w:r>
    </w:p>
    <w:p w:rsidR="00000000" w:rsidDel="00000000" w:rsidP="00000000" w:rsidRDefault="00000000" w:rsidRPr="00000000" w14:paraId="00000020">
      <w:pPr>
        <w:pStyle w:val="Heading2"/>
        <w:spacing w:before="300" w:lineRule="auto"/>
        <w:rPr/>
      </w:pPr>
      <w:r w:rsidDel="00000000" w:rsidR="00000000" w:rsidRPr="00000000">
        <w:rPr>
          <w:rtl w:val="0"/>
        </w:rPr>
        <w:t xml:space="preserve">2. Legal Foundation &amp; Primary Payer Determination</w:t>
      </w:r>
    </w:p>
    <w:p w:rsidR="00000000" w:rsidDel="00000000" w:rsidP="00000000" w:rsidRDefault="00000000" w:rsidRPr="00000000" w14:paraId="00000021">
      <w:pPr>
        <w:pStyle w:val="Heading3"/>
        <w:rPr/>
      </w:pPr>
      <w:r w:rsidDel="00000000" w:rsidR="00000000" w:rsidRPr="00000000">
        <w:rPr>
          <w:rtl w:val="0"/>
        </w:rPr>
        <w:t xml:space="preserve">HIPAA and Claim-Specific Authorization</w:t>
      </w:r>
    </w:p>
    <w:p w:rsidR="00000000" w:rsidDel="00000000" w:rsidP="00000000" w:rsidRDefault="00000000" w:rsidRPr="00000000" w14:paraId="00000022">
      <w:pPr>
        <w:numPr>
          <w:ilvl w:val="0"/>
          <w:numId w:val="10"/>
        </w:numPr>
        <w:ind w:left="720" w:hanging="360"/>
      </w:pPr>
      <w:r w:rsidDel="00000000" w:rsidR="00000000" w:rsidRPr="00000000">
        <w:rPr>
          <w:b w:val="1"/>
          <w:bCs w:val="1"/>
          <w:rtl w:val="0"/>
        </w:rPr>
        <w:t xml:space="preserve">Document Control: </w:t>
      </w:r>
      <w:r w:rsidDel="00000000" w:rsidR="00000000" w:rsidRPr="00000000">
        <w:rPr>
          <w:rtl w:val="0"/>
        </w:rPr>
        <w:t xml:space="preserve">Obtain a claim-specific Authorization to Release Medical Information from the client, clearly detailing the incident date and authorizing communication with legal and insurance parties.</w:t>
      </w:r>
    </w:p>
    <w:p w:rsidR="00000000" w:rsidDel="00000000" w:rsidP="00000000" w:rsidRDefault="00000000" w:rsidRPr="00000000" w14:paraId="00000023">
      <w:pPr>
        <w:numPr>
          <w:ilvl w:val="0"/>
          <w:numId w:val="10"/>
        </w:numPr>
        <w:ind w:left="720" w:hanging="360"/>
      </w:pPr>
      <w:r w:rsidDel="00000000" w:rsidR="00000000" w:rsidRPr="00000000">
        <w:rPr>
          <w:b w:val="1"/>
          <w:bCs w:val="1"/>
          <w:rtl w:val="0"/>
        </w:rPr>
        <w:t xml:space="preserve">Compliance Check: </w:t>
      </w:r>
      <w:r w:rsidDel="00000000" w:rsidR="00000000" w:rsidRPr="00000000">
        <w:rPr>
          <w:rtl w:val="0"/>
        </w:rPr>
        <w:t xml:space="preserve">Ensure the signed HIPAA form is correctly filed to facilitate the timely exchange of treatment records, which is critical for proving medical necessity.</w:t>
      </w:r>
    </w:p>
    <w:p w:rsidR="00000000" w:rsidDel="00000000" w:rsidP="00000000" w:rsidRDefault="00000000" w:rsidRPr="00000000" w14:paraId="00000024">
      <w:pPr>
        <w:pStyle w:val="Heading3"/>
        <w:rPr/>
      </w:pPr>
      <w:r w:rsidDel="00000000" w:rsidR="00000000" w:rsidRPr="00000000">
        <w:rPr>
          <w:rtl w:val="0"/>
        </w:rPr>
        <w:t xml:space="preserve">The Payer Order Rule</w:t>
      </w:r>
    </w:p>
    <w:p w:rsidR="00000000" w:rsidDel="00000000" w:rsidP="00000000" w:rsidRDefault="00000000" w:rsidRPr="00000000" w14:paraId="00000025">
      <w:pPr>
        <w:numPr>
          <w:ilvl w:val="0"/>
          <w:numId w:val="10"/>
        </w:numPr>
        <w:ind w:left="720" w:hanging="360"/>
      </w:pPr>
      <w:r w:rsidDel="00000000" w:rsidR="00000000" w:rsidRPr="00000000">
        <w:rPr>
          <w:b w:val="1"/>
          <w:bCs w:val="1"/>
          <w:rtl w:val="0"/>
        </w:rPr>
        <w:t xml:space="preserve">Primary Payer Hierarchy: </w:t>
      </w:r>
      <w:r w:rsidDel="00000000" w:rsidR="00000000" w:rsidRPr="00000000">
        <w:rPr>
          <w:rtl w:val="0"/>
        </w:rPr>
        <w:t xml:space="preserve">Identify the official "Payor Order" to prevent billing disputes:</w:t>
      </w:r>
    </w:p>
    <w:p w:rsidR="00000000" w:rsidDel="00000000" w:rsidP="00000000" w:rsidRDefault="00000000" w:rsidRPr="00000000" w14:paraId="00000026">
      <w:pPr>
        <w:numPr>
          <w:ilvl w:val="1"/>
          <w:numId w:val="10"/>
        </w:numPr>
        <w:ind w:left="1440" w:hanging="360"/>
      </w:pPr>
      <w:r w:rsidDel="00000000" w:rsidR="00000000" w:rsidRPr="00000000">
        <w:rPr>
          <w:b w:val="1"/>
          <w:bCs w:val="1"/>
          <w:rtl w:val="0"/>
        </w:rPr>
        <w:t xml:space="preserve">1. PIP/MedPay: </w:t>
      </w:r>
      <w:r w:rsidDel="00000000" w:rsidR="00000000" w:rsidRPr="00000000">
        <w:rPr>
          <w:rtl w:val="0"/>
        </w:rPr>
        <w:t xml:space="preserve">Primary benefits for accident-related expenses in no-fault states.</w:t>
      </w:r>
    </w:p>
    <w:p w:rsidR="00000000" w:rsidDel="00000000" w:rsidP="00000000" w:rsidRDefault="00000000" w:rsidRPr="00000000" w14:paraId="00000027">
      <w:pPr>
        <w:numPr>
          <w:ilvl w:val="1"/>
          <w:numId w:val="10"/>
        </w:numPr>
        <w:ind w:left="1440" w:hanging="360"/>
      </w:pPr>
      <w:r w:rsidDel="00000000" w:rsidR="00000000" w:rsidRPr="00000000">
        <w:rPr>
          <w:b w:val="1"/>
          <w:bCs w:val="1"/>
          <w:rtl w:val="0"/>
        </w:rPr>
        <w:t xml:space="preserve">2. Private Health Insurance (ERISA/Non-ERISA): </w:t>
      </w:r>
      <w:r w:rsidDel="00000000" w:rsidR="00000000" w:rsidRPr="00000000">
        <w:rPr>
          <w:rtl w:val="0"/>
        </w:rPr>
        <w:t xml:space="preserve">Secondary coverage once auto benefits are exhausted.</w:t>
      </w:r>
    </w:p>
    <w:p w:rsidR="00000000" w:rsidDel="00000000" w:rsidP="00000000" w:rsidRDefault="00000000" w:rsidRPr="00000000" w14:paraId="00000028">
      <w:pPr>
        <w:numPr>
          <w:ilvl w:val="1"/>
          <w:numId w:val="10"/>
        </w:numPr>
        <w:ind w:left="1440" w:hanging="360"/>
      </w:pPr>
      <w:r w:rsidDel="00000000" w:rsidR="00000000" w:rsidRPr="00000000">
        <w:rPr>
          <w:b w:val="1"/>
          <w:bCs w:val="1"/>
          <w:rtl w:val="0"/>
        </w:rPr>
        <w:t xml:space="preserve">3. LOP/Provider Liens: </w:t>
      </w:r>
      <w:r w:rsidDel="00000000" w:rsidR="00000000" w:rsidRPr="00000000">
        <w:rPr>
          <w:rtl w:val="0"/>
        </w:rPr>
        <w:t xml:space="preserve">Coverage used when auto and health insurance options are not viable or are exhausted.</w:t>
      </w:r>
    </w:p>
    <w:p w:rsidR="00000000" w:rsidDel="00000000" w:rsidP="00000000" w:rsidRDefault="00000000" w:rsidRPr="00000000" w14:paraId="00000029">
      <w:pPr>
        <w:pStyle w:val="Heading3"/>
        <w:rPr/>
      </w:pPr>
      <w:bookmarkStart w:colFirst="0" w:colLast="0" w:name="_q5f6a8auc7eu" w:id="2"/>
      <w:bookmarkEnd w:id="2"/>
      <w:r w:rsidDel="00000000" w:rsidR="00000000" w:rsidRPr="00000000">
        <w:rPr>
          <w:rtl w:val="0"/>
        </w:rPr>
        <w:t xml:space="preserve">Mandatory Federal Reporting</w:t>
      </w:r>
    </w:p>
    <w:p w:rsidR="00000000" w:rsidDel="00000000" w:rsidP="00000000" w:rsidRDefault="00000000" w:rsidRPr="00000000" w14:paraId="0000002A">
      <w:pPr>
        <w:numPr>
          <w:ilvl w:val="0"/>
          <w:numId w:val="10"/>
        </w:numPr>
        <w:ind w:left="720" w:hanging="360"/>
      </w:pPr>
      <w:r w:rsidDel="00000000" w:rsidR="00000000" w:rsidRPr="00000000">
        <w:rPr>
          <w:b w:val="1"/>
          <w:bCs w:val="1"/>
          <w:rtl w:val="0"/>
        </w:rPr>
        <w:t xml:space="preserve">Subrogation Management: </w:t>
      </w:r>
      <w:r w:rsidDel="00000000" w:rsidR="00000000" w:rsidRPr="00000000">
        <w:rPr>
          <w:rtl w:val="0"/>
        </w:rPr>
        <w:t xml:space="preserve">Report cases involving clients aged 65 or older or on Social Security Disability Insurance (SSDI) to the Benefits Coordination &amp; Recovery Center (BCRC) immediately to comply with federal regulations and prevent penalties.</w:t>
      </w:r>
    </w:p>
    <w:p w:rsidR="00000000" w:rsidDel="00000000" w:rsidP="00000000" w:rsidRDefault="00000000" w:rsidRPr="00000000" w14:paraId="0000002B">
      <w:pPr>
        <w:numPr>
          <w:ilvl w:val="0"/>
          <w:numId w:val="10"/>
        </w:numPr>
        <w:ind w:left="720" w:hanging="360"/>
      </w:pPr>
      <w:r w:rsidDel="00000000" w:rsidR="00000000" w:rsidRPr="00000000">
        <w:rPr>
          <w:b w:val="1"/>
          <w:bCs w:val="1"/>
          <w:rtl w:val="0"/>
        </w:rPr>
        <w:t xml:space="preserve">Client Communication: </w:t>
      </w:r>
      <w:r w:rsidDel="00000000" w:rsidR="00000000" w:rsidRPr="00000000">
        <w:rPr>
          <w:rtl w:val="0"/>
        </w:rPr>
        <w:t xml:space="preserve">Advise the client immediately regarding their mandatory cooperation in the Medicare/Medicaid reporting process.</w:t>
      </w:r>
    </w:p>
    <w:p w:rsidR="00000000" w:rsidDel="00000000" w:rsidP="00000000" w:rsidRDefault="00000000" w:rsidRPr="00000000" w14:paraId="0000002C">
      <w:pPr>
        <w:pStyle w:val="Heading2"/>
        <w:spacing w:before="300" w:lineRule="auto"/>
        <w:jc w:val="both"/>
        <w:rPr/>
      </w:pPr>
      <w:bookmarkStart w:colFirst="0" w:colLast="0" w:name="_koz0cv7d24yc" w:id="3"/>
      <w:bookmarkEnd w:id="3"/>
      <w:r w:rsidDel="00000000" w:rsidR="00000000" w:rsidRPr="00000000">
        <w:rPr>
          <w:rtl w:val="0"/>
        </w:rPr>
        <w:t xml:space="preserve">3. The Subrogation Trap: Third-Party Set-Off Rules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Unlike PIP, which is historically insulated from third-party clawbacks in no-fault jurisdictions, MedPay benefits carry a strict contractual right of Subrogation or Reimbursement in most states. If our firm recovers a third-party BI settlement, the client’s first-party auto carrier has a legal right to demand a dollar-for-dollar reimbursement for all MedPay benefits they paid out. Case Managers must aggressively minimize this subrogation exposure to protect the client's net check:</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Made-Whole Defense:</w:t>
      </w:r>
      <w:r w:rsidDel="00000000" w:rsidR="00000000" w:rsidRPr="00000000">
        <w:rPr>
          <w:rtl w:val="0"/>
        </w:rPr>
        <w:t xml:space="preserve"> In state-regulated jurisdictions, assert the </w:t>
      </w:r>
      <w:r w:rsidDel="00000000" w:rsidR="00000000" w:rsidRPr="00000000">
        <w:rPr>
          <w:b w:val="1"/>
          <w:bCs w:val="1"/>
          <w:rtl w:val="0"/>
        </w:rPr>
        <w:t xml:space="preserve">Made-Whole Doctrine</w:t>
      </w:r>
      <w:r w:rsidDel="00000000" w:rsidR="00000000" w:rsidRPr="00000000">
        <w:rPr>
          <w:rtl w:val="0"/>
        </w:rPr>
        <w:t xml:space="preserve">. If the third-party BI policy caps are too low to fully compensate the client for their economic and pain and suffering losses, argue that the first-party carrier is legally barred from subrogating against the limited recovery pool.</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The Procurement Cost Cut:</w:t>
      </w:r>
      <w:r w:rsidDel="00000000" w:rsidR="00000000" w:rsidRPr="00000000">
        <w:rPr>
          <w:rtl w:val="0"/>
        </w:rPr>
        <w:t xml:space="preserve"> If subrogation cannot be fully waived, enforce a mandatory reduction based on procurement costs. The carrier </w:t>
      </w:r>
      <w:r w:rsidDel="00000000" w:rsidR="00000000" w:rsidRPr="00000000">
        <w:rPr>
          <w:i w:val="1"/>
          <w:iCs w:val="1"/>
          <w:rtl w:val="0"/>
        </w:rPr>
        <w:t xml:space="preserve">must</w:t>
      </w:r>
      <w:r w:rsidDel="00000000" w:rsidR="00000000" w:rsidRPr="00000000">
        <w:rPr>
          <w:rtl w:val="0"/>
        </w:rPr>
        <w:t xml:space="preserve"> reduce their MedPay reimbursement lien by our firm's explicit attorney fee percentage plus a pro-rata share of firm costs.</w:t>
      </w:r>
    </w:p>
    <w:p w:rsidR="00000000" w:rsidDel="00000000" w:rsidP="00000000" w:rsidRDefault="00000000" w:rsidRPr="00000000" w14:paraId="00000030">
      <w:pPr>
        <w:pStyle w:val="Heading2"/>
        <w:spacing w:before="300" w:lineRule="auto"/>
        <w:jc w:val="both"/>
        <w:rPr/>
      </w:pPr>
      <w:bookmarkStart w:colFirst="0" w:colLast="0" w:name="_mhq7sbuprveb" w:id="4"/>
      <w:bookmarkEnd w:id="4"/>
      <w:r w:rsidDel="00000000" w:rsidR="00000000" w:rsidRPr="00000000">
        <w:rPr>
          <w:rtl w:val="0"/>
        </w:rPr>
        <w:t xml:space="preserve">4. Coordination of Benefits: The Priority and Conflict Matrix</w:t>
      </w:r>
    </w:p>
    <w:p w:rsidR="00000000" w:rsidDel="00000000" w:rsidP="00000000" w:rsidRDefault="00000000" w:rsidRPr="00000000" w14:paraId="00000031">
      <w:pPr>
        <w:jc w:val="both"/>
        <w:rPr/>
      </w:pPr>
      <w:r w:rsidDel="00000000" w:rsidR="00000000" w:rsidRPr="00000000">
        <w:rPr>
          <w:rtl w:val="0"/>
        </w:rPr>
        <w:t xml:space="preserve">Successful case management requires resolving the complex hierarchy between auto insurance benefits and a client's health coverage. The coordination of benefits is a critical conflict point, especially concerning subrogation rights and primary/secondary payer obligations.</w:t>
      </w:r>
    </w:p>
    <w:p w:rsidR="00000000" w:rsidDel="00000000" w:rsidP="00000000" w:rsidRDefault="00000000" w:rsidRPr="00000000" w14:paraId="00000032">
      <w:pPr>
        <w:numPr>
          <w:ilvl w:val="0"/>
          <w:numId w:val="11"/>
        </w:numPr>
        <w:ind w:left="720" w:hanging="360"/>
        <w:jc w:val="both"/>
      </w:pPr>
      <w:r w:rsidDel="00000000" w:rsidR="00000000" w:rsidRPr="00000000">
        <w:rPr>
          <w:b w:val="1"/>
          <w:bCs w:val="1"/>
          <w:rtl w:val="0"/>
        </w:rPr>
        <w:t xml:space="preserve">Primary Auto Coverage (PIP &amp; MedPay) vs. Health Insurance:</w:t>
      </w:r>
      <w:r w:rsidDel="00000000" w:rsidR="00000000" w:rsidRPr="00000000">
        <w:rPr>
          <w:rtl w:val="0"/>
        </w:rPr>
        <w:t xml:space="preserve"> In first-party states, Personal Injury Protection (PIP) must be exhausted to $0.00 to shift subsequent care into unmitigated special damages under a Letter of Protection (LOP). Case Managers must audit PIP exhaustion logs and prevent "double-dipping" by mandating providers apply health insurance contracted write-off rules.</w:t>
      </w:r>
    </w:p>
    <w:p w:rsidR="00000000" w:rsidDel="00000000" w:rsidP="00000000" w:rsidRDefault="00000000" w:rsidRPr="00000000" w14:paraId="00000033">
      <w:pPr>
        <w:numPr>
          <w:ilvl w:val="0"/>
          <w:numId w:val="11"/>
        </w:numPr>
        <w:ind w:left="720" w:hanging="360"/>
        <w:jc w:val="both"/>
      </w:pPr>
      <w:r w:rsidDel="00000000" w:rsidR="00000000" w:rsidRPr="00000000">
        <w:rPr>
          <w:b w:val="1"/>
          <w:bCs w:val="1"/>
          <w:rtl w:val="0"/>
        </w:rPr>
        <w:t xml:space="preserve">The Subrogation Hierarchy (Lien Strength and Type):</w:t>
      </w:r>
      <w:r w:rsidDel="00000000" w:rsidR="00000000" w:rsidRPr="00000000">
        <w:rPr>
          <w:rtl w:val="0"/>
        </w:rPr>
      </w:r>
    </w:p>
    <w:p w:rsidR="00000000" w:rsidDel="00000000" w:rsidP="00000000" w:rsidRDefault="00000000" w:rsidRPr="00000000" w14:paraId="00000034">
      <w:pPr>
        <w:numPr>
          <w:ilvl w:val="1"/>
          <w:numId w:val="11"/>
        </w:numPr>
        <w:ind w:left="1440" w:hanging="360"/>
        <w:jc w:val="both"/>
      </w:pPr>
      <w:r w:rsidDel="00000000" w:rsidR="00000000" w:rsidRPr="00000000">
        <w:rPr>
          <w:b w:val="1"/>
          <w:bCs w:val="1"/>
          <w:rtl w:val="0"/>
        </w:rPr>
        <w:t xml:space="preserve">Medicare:</w:t>
      </w:r>
      <w:r w:rsidDel="00000000" w:rsidR="00000000" w:rsidRPr="00000000">
        <w:rPr>
          <w:rtl w:val="0"/>
        </w:rPr>
        <w:t xml:space="preserve"> Governed by the Medicare Secondary Payer (MSP) Act, it holds the </w:t>
      </w:r>
      <w:r w:rsidDel="00000000" w:rsidR="00000000" w:rsidRPr="00000000">
        <w:rPr>
          <w:b w:val="1"/>
          <w:bCs w:val="1"/>
          <w:rtl w:val="0"/>
        </w:rPr>
        <w:t xml:space="preserve">strongest statutory lien</w:t>
      </w:r>
      <w:r w:rsidDel="00000000" w:rsidR="00000000" w:rsidRPr="00000000">
        <w:rPr>
          <w:rtl w:val="0"/>
        </w:rPr>
        <w:t xml:space="preserve"> and has priority over all claims. Always notify the recovery portal (MSPRP) immediately to secure a Conditional Payment Letter (CPL), even if the client claims not to have used Medicare.</w:t>
      </w:r>
    </w:p>
    <w:p w:rsidR="00000000" w:rsidDel="00000000" w:rsidP="00000000" w:rsidRDefault="00000000" w:rsidRPr="00000000" w14:paraId="00000035">
      <w:pPr>
        <w:numPr>
          <w:ilvl w:val="1"/>
          <w:numId w:val="11"/>
        </w:numPr>
        <w:ind w:left="1440" w:hanging="360"/>
        <w:jc w:val="both"/>
      </w:pPr>
      <w:r w:rsidDel="00000000" w:rsidR="00000000" w:rsidRPr="00000000">
        <w:rPr>
          <w:b w:val="1"/>
          <w:bCs w:val="1"/>
          <w:rtl w:val="0"/>
        </w:rPr>
        <w:t xml:space="preserve">Medicaid:</w:t>
      </w:r>
      <w:r w:rsidDel="00000000" w:rsidR="00000000" w:rsidRPr="00000000">
        <w:rPr>
          <w:rtl w:val="0"/>
        </w:rPr>
        <w:t xml:space="preserve"> Also subject to a statutory lien and operates as the payer of last resort.</w:t>
      </w:r>
    </w:p>
    <w:p w:rsidR="00000000" w:rsidDel="00000000" w:rsidP="00000000" w:rsidRDefault="00000000" w:rsidRPr="00000000" w14:paraId="00000036">
      <w:pPr>
        <w:numPr>
          <w:ilvl w:val="1"/>
          <w:numId w:val="11"/>
        </w:numPr>
        <w:ind w:left="1440" w:hanging="360"/>
        <w:jc w:val="both"/>
      </w:pPr>
      <w:r w:rsidDel="00000000" w:rsidR="00000000" w:rsidRPr="00000000">
        <w:rPr>
          <w:b w:val="1"/>
          <w:bCs w:val="1"/>
          <w:rtl w:val="0"/>
        </w:rPr>
        <w:t xml:space="preserve">ERISA (Private Health Plans):</w:t>
      </w:r>
      <w:r w:rsidDel="00000000" w:rsidR="00000000" w:rsidRPr="00000000">
        <w:rPr>
          <w:rtl w:val="0"/>
        </w:rPr>
        <w:t xml:space="preserve"> These employer-sponsored, self-funded plans (often TPA/ASO administered) are governed by federal law (ERISA), which preempts state subrogation laws. Reductions are possible by challenging unrelated charges or arguing plan language ambiguity/financial hardship.</w:t>
      </w:r>
    </w:p>
    <w:p w:rsidR="00000000" w:rsidDel="00000000" w:rsidP="00000000" w:rsidRDefault="00000000" w:rsidRPr="00000000" w14:paraId="00000037">
      <w:pPr>
        <w:numPr>
          <w:ilvl w:val="1"/>
          <w:numId w:val="11"/>
        </w:numPr>
        <w:ind w:left="1440" w:hanging="360"/>
        <w:jc w:val="both"/>
      </w:pPr>
      <w:r w:rsidDel="00000000" w:rsidR="00000000" w:rsidRPr="00000000">
        <w:rPr>
          <w:b w:val="1"/>
          <w:bCs w:val="1"/>
          <w:rtl w:val="0"/>
        </w:rPr>
        <w:t xml:space="preserve">Personal/Non-ERISA Health Insurance:</w:t>
      </w:r>
      <w:r w:rsidDel="00000000" w:rsidR="00000000" w:rsidRPr="00000000">
        <w:rPr>
          <w:rtl w:val="0"/>
        </w:rPr>
        <w:t xml:space="preserve"> If the client pays for their own health insurance coverage (not through an employer), the insurance company may not have a subrogation claim, and the client may not be required to reimburse them from a settlement.</w:t>
      </w:r>
    </w:p>
    <w:p w:rsidR="00000000" w:rsidDel="00000000" w:rsidP="00000000" w:rsidRDefault="00000000" w:rsidRPr="00000000" w14:paraId="00000038">
      <w:pPr>
        <w:pStyle w:val="Heading2"/>
        <w:spacing w:before="300" w:lineRule="auto"/>
        <w:jc w:val="both"/>
        <w:rPr/>
      </w:pPr>
      <w:bookmarkStart w:colFirst="0" w:colLast="0" w:name="_w5v0xmoq71rq" w:id="5"/>
      <w:bookmarkEnd w:id="5"/>
      <w:r w:rsidDel="00000000" w:rsidR="00000000" w:rsidRPr="00000000">
        <w:rPr>
          <w:rtl w:val="0"/>
        </w:rPr>
        <w:t xml:space="preserve">5. Federal Lien Compliance: ERISA and Medicare MSP Workflows</w:t>
      </w:r>
    </w:p>
    <w:p w:rsidR="00000000" w:rsidDel="00000000" w:rsidP="00000000" w:rsidRDefault="00000000" w:rsidRPr="00000000" w14:paraId="00000039">
      <w:pPr>
        <w:jc w:val="both"/>
        <w:rPr/>
      </w:pPr>
      <w:r w:rsidDel="00000000" w:rsidR="00000000" w:rsidRPr="00000000">
        <w:rPr>
          <w:rtl w:val="0"/>
        </w:rPr>
        <w:t xml:space="preserve">Navigating federal liens requires specialized workflows to ensure compliance with federal statutes that preempt state laws. Failure to resolve these liens can result in personal liability for the firm and the client.</w:t>
      </w:r>
    </w:p>
    <w:p w:rsidR="00000000" w:rsidDel="00000000" w:rsidP="00000000" w:rsidRDefault="00000000" w:rsidRPr="00000000" w14:paraId="0000003A">
      <w:pPr>
        <w:numPr>
          <w:ilvl w:val="0"/>
          <w:numId w:val="9"/>
        </w:numPr>
        <w:ind w:left="720" w:hanging="360"/>
        <w:jc w:val="both"/>
      </w:pPr>
      <w:r w:rsidDel="00000000" w:rsidR="00000000" w:rsidRPr="00000000">
        <w:rPr>
          <w:b w:val="1"/>
          <w:bCs w:val="1"/>
          <w:rtl w:val="0"/>
        </w:rPr>
        <w:t xml:space="preserve">The ERISA Challenge: Self-Funded Plans:</w:t>
      </w:r>
      <w:r w:rsidDel="00000000" w:rsidR="00000000" w:rsidRPr="00000000">
        <w:rPr>
          <w:rtl w:val="0"/>
        </w:rPr>
        <w:t xml:space="preserve"> Case Managers must identify if a health plan is self-funded by requesting and reviewing the Summary Plan Description (SPD). If the plan language is ambiguous regarding its reimbursement rights, the lien can be aggressively challenged. However, for valid ERISA liens, reimbursement must be made directly to the plan before any settlement funds are distributed to the client.</w:t>
      </w:r>
    </w:p>
    <w:p w:rsidR="00000000" w:rsidDel="00000000" w:rsidP="00000000" w:rsidRDefault="00000000" w:rsidRPr="00000000" w14:paraId="0000003B">
      <w:pPr>
        <w:numPr>
          <w:ilvl w:val="0"/>
          <w:numId w:val="9"/>
        </w:numPr>
        <w:ind w:left="720" w:hanging="360"/>
        <w:jc w:val="both"/>
      </w:pPr>
      <w:r w:rsidDel="00000000" w:rsidR="00000000" w:rsidRPr="00000000">
        <w:rPr>
          <w:b w:val="1"/>
          <w:bCs w:val="1"/>
          <w:rtl w:val="0"/>
        </w:rPr>
        <w:t xml:space="preserve">Medicare Secondary Payer (MSP) Compliance:</w:t>
      </w:r>
      <w:r w:rsidDel="00000000" w:rsidR="00000000" w:rsidRPr="00000000">
        <w:rPr>
          <w:rtl w:val="0"/>
        </w:rPr>
        <w:t xml:space="preserve"> All claims involving Medicare beneficiaries must be reported immediately via the Medicare Secondary Payer Recovery Portal (MSPRP) to secure a Conditional Payment Letter (CPL). The final lien amount is subject to statutory reductions, such as a pro-rata share of attorney fees (often 25%), and a mandatory hold must be placed on settlement disbursement until a Final Demand is satisfied.</w:t>
      </w:r>
    </w:p>
    <w:p w:rsidR="00000000" w:rsidDel="00000000" w:rsidP="00000000" w:rsidRDefault="00000000" w:rsidRPr="00000000" w14:paraId="0000003C">
      <w:pPr>
        <w:numPr>
          <w:ilvl w:val="1"/>
          <w:numId w:val="11"/>
        </w:numPr>
        <w:ind w:left="1440" w:hanging="360"/>
        <w:jc w:val="both"/>
      </w:pPr>
      <w:r w:rsidDel="00000000" w:rsidR="00000000" w:rsidRPr="00000000">
        <w:rPr>
          <w:b w:val="1"/>
          <w:bCs w:val="1"/>
          <w:rtl w:val="0"/>
        </w:rPr>
        <w:t xml:space="preserve">MedPay:</w:t>
      </w:r>
      <w:r w:rsidDel="00000000" w:rsidR="00000000" w:rsidRPr="00000000">
        <w:rPr>
          <w:rtl w:val="0"/>
        </w:rPr>
        <w:t xml:space="preserve"> Carries a contractual subrogation right that can be mitigated using the Made-Whole Defense or procurement cost reductions.</w:t>
      </w:r>
    </w:p>
    <w:p w:rsidR="00000000" w:rsidDel="00000000" w:rsidP="00000000" w:rsidRDefault="00000000" w:rsidRPr="00000000" w14:paraId="0000003D">
      <w:pPr>
        <w:pStyle w:val="Heading2"/>
        <w:spacing w:before="300" w:lineRule="auto"/>
        <w:jc w:val="both"/>
        <w:rPr/>
      </w:pPr>
      <w:bookmarkStart w:colFirst="0" w:colLast="0" w:name="_mt1uotgcbseq" w:id="6"/>
      <w:bookmarkEnd w:id="6"/>
      <w:r w:rsidDel="00000000" w:rsidR="00000000" w:rsidRPr="00000000">
        <w:rPr>
          <w:rtl w:val="0"/>
        </w:rPr>
        <w:t xml:space="preserve">6. Case Manager Triage &amp; Subrogation Initiation</w:t>
      </w:r>
    </w:p>
    <w:p w:rsidR="00000000" w:rsidDel="00000000" w:rsidP="00000000" w:rsidRDefault="00000000" w:rsidRPr="00000000" w14:paraId="0000003E">
      <w:pPr>
        <w:jc w:val="both"/>
        <w:rPr/>
      </w:pPr>
      <w:r w:rsidDel="00000000" w:rsidR="00000000" w:rsidRPr="00000000">
        <w:rPr>
          <w:rtl w:val="0"/>
        </w:rPr>
        <w:t xml:space="preserve">Before initiating litigation, the Case Manager must triage all potential liens to confirm primary payer responsibilities and commence the subrogation process, protecting the client's net recovery and complying with federal and state laws.</w:t>
      </w:r>
    </w:p>
    <w:p w:rsidR="00000000" w:rsidDel="00000000" w:rsidP="00000000" w:rsidRDefault="00000000" w:rsidRPr="00000000" w14:paraId="0000003F">
      <w:pPr>
        <w:pStyle w:val="Heading3"/>
        <w:jc w:val="both"/>
        <w:rPr/>
      </w:pPr>
      <w:r w:rsidDel="00000000" w:rsidR="00000000" w:rsidRPr="00000000">
        <w:rPr>
          <w:rtl w:val="0"/>
        </w:rPr>
        <w:t xml:space="preserve">Step-by-Step Guide for Subrogation Initiation</w:t>
      </w:r>
    </w:p>
    <w:p w:rsidR="00000000" w:rsidDel="00000000" w:rsidP="00000000" w:rsidRDefault="00000000" w:rsidRPr="00000000" w14:paraId="00000040">
      <w:pPr>
        <w:jc w:val="both"/>
        <w:rPr/>
      </w:pPr>
      <w:r w:rsidDel="00000000" w:rsidR="00000000" w:rsidRPr="00000000">
        <w:rPr>
          <w:rtl w:val="0"/>
        </w:rPr>
        <w:t xml:space="preserve">This workflow applies to all major health payers (ERISA, Private Health, Medicaid, Medicare). The primary goal is to formally notify the insurer while strictly adhering to the Collateral Source Rule by withholding third-party information.</w:t>
      </w:r>
    </w:p>
    <w:p w:rsidR="00000000" w:rsidDel="00000000" w:rsidP="00000000" w:rsidRDefault="00000000" w:rsidRPr="00000000" w14:paraId="00000041">
      <w:pPr>
        <w:numPr>
          <w:ilvl w:val="0"/>
          <w:numId w:val="1"/>
        </w:numPr>
        <w:ind w:left="720" w:hanging="360"/>
        <w:jc w:val="both"/>
      </w:pPr>
      <w:r w:rsidDel="00000000" w:rsidR="00000000" w:rsidRPr="00000000">
        <w:rPr>
          <w:b w:val="1"/>
          <w:bCs w:val="1"/>
          <w:rtl w:val="0"/>
        </w:rPr>
        <w:t xml:space="preserve">Preparation and Documentation Review:</w:t>
      </w:r>
      <w:r w:rsidDel="00000000" w:rsidR="00000000" w:rsidRPr="00000000">
        <w:rPr>
          <w:rtl w:val="0"/>
        </w:rPr>
      </w:r>
    </w:p>
    <w:p w:rsidR="00000000" w:rsidDel="00000000" w:rsidP="00000000" w:rsidRDefault="00000000" w:rsidRPr="00000000" w14:paraId="00000042">
      <w:pPr>
        <w:numPr>
          <w:ilvl w:val="1"/>
          <w:numId w:val="1"/>
        </w:numPr>
        <w:ind w:left="1440" w:hanging="360"/>
        <w:jc w:val="both"/>
      </w:pPr>
      <w:r w:rsidDel="00000000" w:rsidR="00000000" w:rsidRPr="00000000">
        <w:rPr>
          <w:rtl w:val="0"/>
        </w:rPr>
        <w:t xml:space="preserve">Check the client’s file (Intake/MVA Questionnaire) for all health insurance information and obtain a copy of the front and back of the insurance card.</w:t>
      </w:r>
    </w:p>
    <w:p w:rsidR="00000000" w:rsidDel="00000000" w:rsidP="00000000" w:rsidRDefault="00000000" w:rsidRPr="00000000" w14:paraId="00000043">
      <w:pPr>
        <w:numPr>
          <w:ilvl w:val="1"/>
          <w:numId w:val="1"/>
        </w:numPr>
        <w:ind w:left="1440" w:hanging="360"/>
        <w:jc w:val="both"/>
      </w:pPr>
      <w:r w:rsidDel="00000000" w:rsidR="00000000" w:rsidRPr="00000000">
        <w:rPr>
          <w:rtl w:val="0"/>
        </w:rPr>
        <w:t xml:space="preserve">Verify if the client went to the hospital, which hospital, and if they used health insurance for treatment.</w:t>
      </w:r>
    </w:p>
    <w:p w:rsidR="00000000" w:rsidDel="00000000" w:rsidP="00000000" w:rsidRDefault="00000000" w:rsidRPr="00000000" w14:paraId="00000044">
      <w:pPr>
        <w:numPr>
          <w:ilvl w:val="0"/>
          <w:numId w:val="1"/>
        </w:numPr>
        <w:ind w:left="720" w:hanging="360"/>
        <w:jc w:val="both"/>
      </w:pPr>
      <w:r w:rsidDel="00000000" w:rsidR="00000000" w:rsidRPr="00000000">
        <w:rPr>
          <w:b w:val="1"/>
          <w:bCs w:val="1"/>
          <w:rtl w:val="0"/>
        </w:rPr>
        <w:t xml:space="preserve">Contacting the Subrogation Department:</w:t>
      </w:r>
      <w:r w:rsidDel="00000000" w:rsidR="00000000" w:rsidRPr="00000000">
        <w:rPr>
          <w:rtl w:val="0"/>
        </w:rPr>
      </w:r>
    </w:p>
    <w:p w:rsidR="00000000" w:rsidDel="00000000" w:rsidP="00000000" w:rsidRDefault="00000000" w:rsidRPr="00000000" w14:paraId="00000045">
      <w:pPr>
        <w:numPr>
          <w:ilvl w:val="1"/>
          <w:numId w:val="1"/>
        </w:numPr>
        <w:ind w:left="1440" w:hanging="360"/>
        <w:jc w:val="both"/>
      </w:pPr>
      <w:r w:rsidDel="00000000" w:rsidR="00000000" w:rsidRPr="00000000">
        <w:rPr>
          <w:rtl w:val="0"/>
        </w:rPr>
        <w:t xml:space="preserve">Call the Member Services number on the back of the card and provide the Member ID.</w:t>
      </w:r>
    </w:p>
    <w:p w:rsidR="00000000" w:rsidDel="00000000" w:rsidP="00000000" w:rsidRDefault="00000000" w:rsidRPr="00000000" w14:paraId="00000046">
      <w:pPr>
        <w:numPr>
          <w:ilvl w:val="1"/>
          <w:numId w:val="1"/>
        </w:numPr>
        <w:ind w:left="1440" w:hanging="360"/>
        <w:jc w:val="both"/>
      </w:pPr>
      <w:r w:rsidDel="00000000" w:rsidR="00000000" w:rsidRPr="00000000">
        <w:rPr>
          <w:rtl w:val="0"/>
        </w:rPr>
        <w:t xml:space="preserve">Confirm if the agent handles subrogation; if not, ask for the subrogation department.</w:t>
      </w:r>
    </w:p>
    <w:p w:rsidR="00000000" w:rsidDel="00000000" w:rsidP="00000000" w:rsidRDefault="00000000" w:rsidRPr="00000000" w14:paraId="00000047">
      <w:pPr>
        <w:numPr>
          <w:ilvl w:val="1"/>
          <w:numId w:val="1"/>
        </w:numPr>
        <w:ind w:left="1440" w:hanging="360"/>
        <w:jc w:val="both"/>
      </w:pPr>
      <w:r w:rsidDel="00000000" w:rsidR="00000000" w:rsidRPr="00000000">
        <w:rPr>
          <w:rtl w:val="0"/>
        </w:rPr>
        <w:t xml:space="preserve">Gather the Subrogation Company name, phone number, fax, and mailing address.</w:t>
      </w:r>
    </w:p>
    <w:p w:rsidR="00000000" w:rsidDel="00000000" w:rsidP="00000000" w:rsidRDefault="00000000" w:rsidRPr="00000000" w14:paraId="00000048">
      <w:pPr>
        <w:numPr>
          <w:ilvl w:val="0"/>
          <w:numId w:val="1"/>
        </w:numPr>
        <w:ind w:left="720" w:hanging="360"/>
        <w:jc w:val="both"/>
      </w:pPr>
      <w:r w:rsidDel="00000000" w:rsidR="00000000" w:rsidRPr="00000000">
        <w:rPr>
          <w:b w:val="1"/>
          <w:bCs w:val="1"/>
          <w:rtl w:val="0"/>
        </w:rPr>
        <w:t xml:space="preserve">Sending Formal Notice (LOR + HIPAA):</w:t>
      </w:r>
      <w:r w:rsidDel="00000000" w:rsidR="00000000" w:rsidRPr="00000000">
        <w:rPr>
          <w:rtl w:val="0"/>
        </w:rPr>
      </w:r>
    </w:p>
    <w:p w:rsidR="00000000" w:rsidDel="00000000" w:rsidP="00000000" w:rsidRDefault="00000000" w:rsidRPr="00000000" w14:paraId="00000049">
      <w:pPr>
        <w:numPr>
          <w:ilvl w:val="1"/>
          <w:numId w:val="1"/>
        </w:numPr>
        <w:ind w:left="1440" w:hanging="360"/>
        <w:jc w:val="both"/>
      </w:pPr>
      <w:r w:rsidDel="00000000" w:rsidR="00000000" w:rsidRPr="00000000">
        <w:rPr>
          <w:rtl w:val="0"/>
        </w:rPr>
        <w:t xml:space="preserve">Prepare a Letter of Representation (LOR) along with the client’s signed HIPAA form.</w:t>
      </w:r>
    </w:p>
    <w:p w:rsidR="00000000" w:rsidDel="00000000" w:rsidP="00000000" w:rsidRDefault="00000000" w:rsidRPr="00000000" w14:paraId="0000004A">
      <w:pPr>
        <w:numPr>
          <w:ilvl w:val="1"/>
          <w:numId w:val="1"/>
        </w:numPr>
        <w:ind w:left="1440" w:hanging="360"/>
        <w:jc w:val="both"/>
      </w:pPr>
      <w:r w:rsidDel="00000000" w:rsidR="00000000" w:rsidRPr="00000000">
        <w:rPr>
          <w:b w:val="1"/>
          <w:bCs w:val="1"/>
          <w:rtl w:val="0"/>
        </w:rPr>
        <w:t xml:space="preserve">CRITICAL RULE: </w:t>
      </w:r>
      <w:r w:rsidDel="00000000" w:rsidR="00000000" w:rsidRPr="00000000">
        <w:rPr>
          <w:rtl w:val="0"/>
        </w:rPr>
        <w:t xml:space="preserve">While you should provide details on the client’s treatment and injuries (to help the analyst locate relevant medical bills), </w:t>
      </w:r>
      <w:r w:rsidDel="00000000" w:rsidR="00000000" w:rsidRPr="00000000">
        <w:rPr>
          <w:b w:val="1"/>
          <w:bCs w:val="1"/>
          <w:rtl w:val="0"/>
        </w:rPr>
        <w:t xml:space="preserve">DO NOT </w:t>
      </w:r>
      <w:r w:rsidDel="00000000" w:rsidR="00000000" w:rsidRPr="00000000">
        <w:rPr>
          <w:rtl w:val="0"/>
        </w:rPr>
        <w:t xml:space="preserve">provide any third-party defendant or at-fault party information. This prevents the subrogation company from sending a Notice of Lien to the defense, which could lead the adjuster to offer a lower settlement based on the Collateral Source Rule.</w:t>
      </w:r>
    </w:p>
    <w:p w:rsidR="00000000" w:rsidDel="00000000" w:rsidP="00000000" w:rsidRDefault="00000000" w:rsidRPr="00000000" w14:paraId="0000004B">
      <w:pPr>
        <w:pStyle w:val="Heading3"/>
        <w:jc w:val="both"/>
        <w:rPr/>
      </w:pPr>
      <w:bookmarkStart w:colFirst="0" w:colLast="0" w:name="_dzg1cy8yms58" w:id="7"/>
      <w:bookmarkEnd w:id="7"/>
      <w:r w:rsidDel="00000000" w:rsidR="00000000" w:rsidRPr="00000000">
        <w:rPr>
          <w:rtl w:val="0"/>
        </w:rPr>
        <w:t xml:space="preserve">Military/Government Claims (TRICARE)</w:t>
      </w:r>
    </w:p>
    <w:p w:rsidR="00000000" w:rsidDel="00000000" w:rsidP="00000000" w:rsidRDefault="00000000" w:rsidRPr="00000000" w14:paraId="0000004C">
      <w:pPr>
        <w:jc w:val="both"/>
        <w:rPr/>
      </w:pPr>
      <w:r w:rsidDel="00000000" w:rsidR="00000000" w:rsidRPr="00000000">
        <w:rPr>
          <w:rtl w:val="0"/>
        </w:rPr>
        <w:t xml:space="preserve">If the claimant is a U.S. armed forces military personnel, a military retiree, or a dependent, their health coverage is managed by </w:t>
      </w:r>
      <w:r w:rsidDel="00000000" w:rsidR="00000000" w:rsidRPr="00000000">
        <w:rPr>
          <w:b w:val="1"/>
          <w:bCs w:val="1"/>
          <w:rtl w:val="0"/>
        </w:rPr>
        <w:t xml:space="preserve">TRICARE </w:t>
      </w:r>
      <w:r w:rsidDel="00000000" w:rsidR="00000000" w:rsidRPr="00000000">
        <w:rPr>
          <w:rtl w:val="0"/>
        </w:rPr>
        <w:t xml:space="preserve">.</w:t>
      </w:r>
    </w:p>
    <w:p w:rsidR="00000000" w:rsidDel="00000000" w:rsidP="00000000" w:rsidRDefault="00000000" w:rsidRPr="00000000" w14:paraId="0000004D">
      <w:pPr>
        <w:numPr>
          <w:ilvl w:val="0"/>
          <w:numId w:val="2"/>
        </w:numPr>
        <w:ind w:left="720" w:hanging="360"/>
        <w:jc w:val="both"/>
      </w:pPr>
      <w:r w:rsidDel="00000000" w:rsidR="00000000" w:rsidRPr="00000000">
        <w:rPr>
          <w:b w:val="1"/>
          <w:bCs w:val="1"/>
          <w:rtl w:val="0"/>
        </w:rPr>
        <w:t xml:space="preserve">Lien Strength: </w:t>
      </w:r>
      <w:r w:rsidDel="00000000" w:rsidR="00000000" w:rsidRPr="00000000">
        <w:rPr>
          <w:rtl w:val="0"/>
        </w:rPr>
        <w:t xml:space="preserve">As a federal program administered by the Department of Defense (DHA), TRICARE seeks reimbursement (subrogation) from the at-fault third party after covering medical expenses. Beneficiaries are required to cooperate and must repay TRICARE from any settlement or judgment received.</w:t>
      </w:r>
    </w:p>
    <w:p w:rsidR="00000000" w:rsidDel="00000000" w:rsidP="00000000" w:rsidRDefault="00000000" w:rsidRPr="00000000" w14:paraId="0000004E">
      <w:pPr>
        <w:numPr>
          <w:ilvl w:val="0"/>
          <w:numId w:val="2"/>
        </w:numPr>
        <w:ind w:left="720" w:hanging="360"/>
        <w:jc w:val="both"/>
      </w:pPr>
      <w:r w:rsidDel="00000000" w:rsidR="00000000" w:rsidRPr="00000000">
        <w:rPr>
          <w:b w:val="1"/>
          <w:bCs w:val="1"/>
          <w:rtl w:val="0"/>
        </w:rPr>
        <w:t xml:space="preserve">Claim Initiation: </w:t>
      </w:r>
      <w:r w:rsidDel="00000000" w:rsidR="00000000" w:rsidRPr="00000000">
        <w:rPr>
          <w:rtl w:val="0"/>
        </w:rPr>
        <w:t xml:space="preserve">To formally open a subrogation claim, the Letter of Representation (LOR) and HIPAA must be sent to the Judge Advocate General (JAG) via fax: 520-533-0617.</w:t>
      </w:r>
    </w:p>
    <w:p w:rsidR="00000000" w:rsidDel="00000000" w:rsidP="00000000" w:rsidRDefault="00000000" w:rsidRPr="00000000" w14:paraId="0000004F">
      <w:pPr>
        <w:numPr>
          <w:ilvl w:val="0"/>
          <w:numId w:val="2"/>
        </w:numPr>
        <w:ind w:left="720" w:hanging="360"/>
        <w:jc w:val="both"/>
      </w:pPr>
      <w:r w:rsidDel="00000000" w:rsidR="00000000" w:rsidRPr="00000000">
        <w:rPr>
          <w:b w:val="1"/>
          <w:bCs w:val="1"/>
          <w:rtl w:val="0"/>
        </w:rPr>
        <w:t xml:space="preserve">Administration: </w:t>
      </w:r>
      <w:r w:rsidDel="00000000" w:rsidR="00000000" w:rsidRPr="00000000">
        <w:rPr>
          <w:rtl w:val="0"/>
        </w:rPr>
        <w:t xml:space="preserve">TRICARE’s subrogation efforts are handled by a dedicated contractor, such as the TRICARE Subrogation Contractor (TSC) or TRICARE Recovery Audit Contractor (TRAC).</w:t>
      </w:r>
    </w:p>
    <w:p w:rsidR="00000000" w:rsidDel="00000000" w:rsidP="00000000" w:rsidRDefault="00000000" w:rsidRPr="00000000" w14:paraId="00000050">
      <w:pPr>
        <w:pStyle w:val="Heading2"/>
        <w:jc w:val="both"/>
        <w:rPr/>
      </w:pPr>
      <w:bookmarkStart w:colFirst="0" w:colLast="0" w:name="_p4lrkbp628qa" w:id="8"/>
      <w:bookmarkEnd w:id="8"/>
      <w:r w:rsidDel="00000000" w:rsidR="00000000" w:rsidRPr="00000000">
        <w:rPr>
          <w:b w:val="1"/>
          <w:bCs w:val="1"/>
          <w:rtl w:val="0"/>
        </w:rPr>
        <w:t xml:space="preserve">7. LOP Inflation Monitoring &amp; First-Party Special Damages Matrix</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Controlling the cost of specialized medical care is paramount to maximizing the client’s net recovery. A Letter of Protection (LOP) converts medical bills into "unmitigated" special damages, which are generally calculated at higher rates than those paid by insurance. However, over-reliance on LOPs for routine, lower-cost services (like initial chiropractic care or simple diagnostics) can lead to </w:t>
      </w:r>
      <w:r w:rsidDel="00000000" w:rsidR="00000000" w:rsidRPr="00000000">
        <w:rPr>
          <w:b w:val="1"/>
          <w:bCs w:val="1"/>
          <w:rtl w:val="0"/>
        </w:rPr>
        <w:t xml:space="preserve">LOP Inflation</w:t>
      </w:r>
      <w:r w:rsidDel="00000000" w:rsidR="00000000" w:rsidRPr="00000000">
        <w:rPr>
          <w:rtl w:val="0"/>
        </w:rPr>
        <w:t xml:space="preserve">, resulting in inflated liens that drastically reduce the client's settlement share. The strategy outlined in this section is to aggressively use first-party auto benefits (MedPay/PIP) for high-frequency or technically recoverable costs, preserving the LOP exclusively for true high-impact interventions.</w:t>
      </w:r>
    </w:p>
    <w:p w:rsidR="00000000" w:rsidDel="00000000" w:rsidP="00000000" w:rsidRDefault="00000000" w:rsidRPr="00000000" w14:paraId="00000052">
      <w:pPr>
        <w:pStyle w:val="Heading3"/>
        <w:jc w:val="both"/>
        <w:rPr/>
      </w:pPr>
      <w:bookmarkStart w:colFirst="0" w:colLast="0" w:name="_s85ppllwd1e3" w:id="9"/>
      <w:bookmarkEnd w:id="9"/>
      <w:r w:rsidDel="00000000" w:rsidR="00000000" w:rsidRPr="00000000">
        <w:rPr>
          <w:b w:val="1"/>
          <w:bCs w:val="1"/>
          <w:rtl w:val="0"/>
        </w:rPr>
        <w:t xml:space="preserve">The LOP Inflation Risk Mitigation</w:t>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Definition of LOP Inflation:</w:t>
      </w:r>
      <w:r w:rsidDel="00000000" w:rsidR="00000000" w:rsidRPr="00000000">
        <w:rPr>
          <w:rtl w:val="0"/>
        </w:rPr>
        <w:t xml:space="preserve"> Occurs when conservative providers bill their undiscounted, non-contracted rates under an LOP for services that could have been paid for at a lower, contracted rate by MedPay or PIP. This inflates the total lien amount, shrinking the client's net check.</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Mitigation Strategy:</w:t>
      </w:r>
      <w:r w:rsidDel="00000000" w:rsidR="00000000" w:rsidRPr="00000000">
        <w:rPr>
          <w:rtl w:val="0"/>
        </w:rPr>
        <w:t xml:space="preserve"> Use the dual-billing system (80% PIP / 20% MedPay) as the default for all initial and conservative care. Only transition to an LOP when first-party benefits are exhausted or when the service provider requires an LOP due to high facility fees (e.g., surgical centers, advanced interventionalists).</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Special Damages Multiplier:</w:t>
      </w:r>
      <w:r w:rsidDel="00000000" w:rsidR="00000000" w:rsidRPr="00000000">
        <w:rPr>
          <w:rtl w:val="0"/>
        </w:rPr>
        <w:t xml:space="preserve"> By limiting the LOP to high-cost interventional procedures (e.g., ESIs, RFAs), the firm anchors the pain and suffering multiplier to higher-value, more defensible medical treatments, maximizing the overall settlement value.</w:t>
      </w:r>
    </w:p>
    <w:p w:rsidR="00000000" w:rsidDel="00000000" w:rsidP="00000000" w:rsidRDefault="00000000" w:rsidRPr="00000000" w14:paraId="00000057">
      <w:pPr>
        <w:pStyle w:val="Heading3"/>
        <w:jc w:val="both"/>
        <w:rPr/>
      </w:pPr>
      <w:bookmarkStart w:colFirst="0" w:colLast="0" w:name="_bv3l3q3t6syf" w:id="10"/>
      <w:bookmarkEnd w:id="10"/>
      <w:r w:rsidDel="00000000" w:rsidR="00000000" w:rsidRPr="00000000">
        <w:rPr>
          <w:b w:val="1"/>
          <w:bCs w:val="1"/>
          <w:rtl w:val="0"/>
        </w:rPr>
        <w:t xml:space="preserve">First-Party Policy Allocation Matrix</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matrix below serves as the operational template for mapping first-party policy limits against specialized care categories to prevent code omission and optimize unmitigated special damages multipliers:</w:t>
      </w:r>
    </w:p>
    <w:tbl>
      <w:tblPr>
        <w:tblStyle w:val="Table2"/>
        <w:tblW w:w="9360.0" w:type="dxa"/>
        <w:jc w:val="left"/>
        <w:tblBorders>
          <w:top w:color="d97736" w:space="0" w:sz="6" w:val="single"/>
          <w:left w:color="d97736" w:space="0" w:sz="6" w:val="single"/>
          <w:bottom w:color="d97736" w:space="0" w:sz="6" w:val="single"/>
          <w:right w:color="d97736" w:space="0" w:sz="6" w:val="single"/>
          <w:insideH w:color="d97736" w:space="0" w:sz="6" w:val="single"/>
          <w:insideV w:color="d97736" w:space="0" w:sz="6" w:val="single"/>
        </w:tblBorders>
        <w:tblLayout w:type="fixed"/>
        <w:tblLook w:val="0600"/>
      </w:tblPr>
      <w:tblGrid>
        <w:gridCol w:w="6552"/>
        <w:gridCol w:w="2808"/>
        <w:tblGridChange w:id="0">
          <w:tblGrid>
            <w:gridCol w:w="6552"/>
            <w:gridCol w:w="2808"/>
          </w:tblGrid>
        </w:tblGridChange>
      </w:tblGrid>
      <w:tr>
        <w:trPr>
          <w:cantSplit w:val="1"/>
          <w:tblHeader w:val="1"/>
        </w:trPr>
        <w:tc>
          <w:tcPr>
            <w:tcBorders>
              <w:top w:color="d97736" w:space="0" w:sz="6" w:val="single"/>
              <w:left w:color="d97736" w:space="0" w:sz="6" w:val="single"/>
              <w:bottom w:color="d97736" w:space="0" w:sz="6" w:val="single"/>
              <w:right w:color="d97736" w:space="0" w:sz="6" w:val="single"/>
            </w:tcBorders>
            <w:shd w:fill="363b46" w:val="clear"/>
            <w:tcMar>
              <w:top w:w="180.0" w:type="dxa"/>
              <w:left w:w="180.0" w:type="dxa"/>
              <w:bottom w:w="180.0" w:type="dxa"/>
              <w:right w:w="180.0" w:type="dxa"/>
            </w:tcMar>
          </w:tcPr>
          <w:p w:rsidR="00000000" w:rsidDel="00000000" w:rsidP="00000000" w:rsidRDefault="00000000" w:rsidRPr="00000000" w14:paraId="00000059">
            <w:pPr>
              <w:spacing w:after="180" w:before="180" w:lineRule="auto"/>
              <w:jc w:val="both"/>
              <w:rPr/>
            </w:pPr>
            <w:r w:rsidDel="00000000" w:rsidR="00000000" w:rsidRPr="00000000">
              <w:rPr>
                <w:rFonts w:ascii="Arial" w:cs="Arial" w:eastAsia="Arial" w:hAnsi="Arial"/>
                <w:b w:val="1"/>
                <w:bCs w:val="1"/>
                <w:color w:val="ffffff"/>
                <w:sz w:val="24"/>
                <w:szCs w:val="24"/>
                <w:rtl w:val="0"/>
              </w:rPr>
              <w:t xml:space="preserve">Advanced Interventional Billing Class (MedPay Coordination)</w:t>
            </w:r>
            <w:r w:rsidDel="00000000" w:rsidR="00000000" w:rsidRPr="00000000">
              <w:rPr>
                <w:rtl w:val="0"/>
              </w:rPr>
            </w:r>
          </w:p>
        </w:tc>
        <w:tc>
          <w:tcPr>
            <w:tcBorders>
              <w:top w:color="d97736" w:space="0" w:sz="6" w:val="single"/>
              <w:left w:color="d97736" w:space="0" w:sz="6" w:val="single"/>
              <w:bottom w:color="d97736" w:space="0" w:sz="6" w:val="single"/>
              <w:right w:color="d97736" w:space="0" w:sz="6" w:val="single"/>
            </w:tcBorders>
            <w:shd w:fill="363b46" w:val="clear"/>
            <w:tcMar>
              <w:top w:w="180.0" w:type="dxa"/>
              <w:left w:w="180.0" w:type="dxa"/>
              <w:bottom w:w="180.0" w:type="dxa"/>
              <w:right w:w="180.0" w:type="dxa"/>
            </w:tcMar>
          </w:tcPr>
          <w:p w:rsidR="00000000" w:rsidDel="00000000" w:rsidP="00000000" w:rsidRDefault="00000000" w:rsidRPr="00000000" w14:paraId="0000005A">
            <w:pPr>
              <w:spacing w:after="180" w:before="180" w:lineRule="auto"/>
              <w:jc w:val="both"/>
              <w:rPr/>
            </w:pPr>
            <w:r w:rsidDel="00000000" w:rsidR="00000000" w:rsidRPr="00000000">
              <w:rPr>
                <w:rFonts w:ascii="Arial" w:cs="Arial" w:eastAsia="Arial" w:hAnsi="Arial"/>
                <w:b w:val="1"/>
                <w:bCs w:val="1"/>
                <w:color w:val="ffffff"/>
                <w:sz w:val="24"/>
                <w:szCs w:val="24"/>
                <w:rtl w:val="0"/>
              </w:rPr>
              <w:t xml:space="preserve">Target Allocation</w:t>
            </w:r>
            <w:r w:rsidDel="00000000" w:rsidR="00000000" w:rsidRPr="00000000">
              <w:rPr>
                <w:rtl w:val="0"/>
              </w:rPr>
            </w:r>
          </w:p>
        </w:tc>
      </w:tr>
      <w:tr>
        <w:trPr>
          <w:cantSplit w:val="1"/>
          <w:tblHeader w:val="0"/>
        </w:trPr>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5B">
            <w:pPr>
              <w:spacing w:after="180" w:before="180" w:lineRule="auto"/>
              <w:jc w:val="both"/>
              <w:rPr/>
            </w:pPr>
            <w:r w:rsidDel="00000000" w:rsidR="00000000" w:rsidRPr="00000000">
              <w:rPr>
                <w:rFonts w:ascii="Arial" w:cs="Arial" w:eastAsia="Arial" w:hAnsi="Arial"/>
                <w:b w:val="1"/>
                <w:bCs w:val="1"/>
                <w:color w:val="363b46"/>
                <w:sz w:val="24"/>
                <w:szCs w:val="24"/>
                <w:rtl w:val="0"/>
              </w:rPr>
              <w:t xml:space="preserve">Diagnostic MRI Imaging Facility Fees</w:t>
            </w:r>
            <w:r w:rsidDel="00000000" w:rsidR="00000000" w:rsidRPr="00000000">
              <w:rPr>
                <w:rFonts w:ascii="Arial" w:cs="Arial" w:eastAsia="Arial" w:hAnsi="Arial"/>
                <w:color w:val="363b46"/>
                <w:sz w:val="24"/>
                <w:szCs w:val="24"/>
                <w:rtl w:val="0"/>
              </w:rPr>
              <w:t xml:space="preserve"> (Bypassing LOP Discount Adjustments)</w:t>
            </w:r>
            <w:r w:rsidDel="00000000" w:rsidR="00000000" w:rsidRPr="00000000">
              <w:rPr>
                <w:rtl w:val="0"/>
              </w:rPr>
            </w:r>
          </w:p>
        </w:tc>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5C">
            <w:pPr>
              <w:spacing w:after="180" w:before="180" w:lineRule="auto"/>
              <w:jc w:val="both"/>
              <w:rPr/>
            </w:pPr>
            <w:r w:rsidDel="00000000" w:rsidR="00000000" w:rsidRPr="00000000">
              <w:rPr>
                <w:rFonts w:ascii="Arial" w:cs="Arial" w:eastAsia="Arial" w:hAnsi="Arial"/>
                <w:b w:val="1"/>
                <w:bCs w:val="1"/>
                <w:color w:val="d97736"/>
                <w:sz w:val="24"/>
                <w:szCs w:val="24"/>
                <w:rtl w:val="0"/>
              </w:rPr>
              <w:t xml:space="preserve">100% MedPay Bridge</w:t>
            </w:r>
            <w:r w:rsidDel="00000000" w:rsidR="00000000" w:rsidRPr="00000000">
              <w:rPr>
                <w:rtl w:val="0"/>
              </w:rPr>
            </w:r>
          </w:p>
        </w:tc>
      </w:tr>
      <w:tr>
        <w:trPr>
          <w:cantSplit w:val="1"/>
          <w:tblHeader w:val="0"/>
        </w:trPr>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5D">
            <w:pPr>
              <w:spacing w:after="180" w:before="180" w:lineRule="auto"/>
              <w:jc w:val="both"/>
              <w:rPr/>
            </w:pPr>
            <w:r w:rsidDel="00000000" w:rsidR="00000000" w:rsidRPr="00000000">
              <w:rPr>
                <w:rFonts w:ascii="Arial" w:cs="Arial" w:eastAsia="Arial" w:hAnsi="Arial"/>
                <w:b w:val="1"/>
                <w:bCs w:val="1"/>
                <w:color w:val="363b46"/>
                <w:sz w:val="24"/>
                <w:szCs w:val="24"/>
                <w:rtl w:val="0"/>
              </w:rPr>
              <w:t xml:space="preserve">Epidural Steroid Injections (ESIs) &amp; Operative Reporting Logs</w:t>
            </w:r>
            <w:r w:rsidDel="00000000" w:rsidR="00000000" w:rsidRPr="00000000">
              <w:rPr>
                <w:rtl w:val="0"/>
              </w:rPr>
            </w:r>
          </w:p>
        </w:tc>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5E">
            <w:pPr>
              <w:spacing w:after="180" w:before="180" w:lineRule="auto"/>
              <w:jc w:val="both"/>
              <w:rPr/>
            </w:pPr>
            <w:r w:rsidDel="00000000" w:rsidR="00000000" w:rsidRPr="00000000">
              <w:rPr>
                <w:rFonts w:ascii="Arial" w:cs="Arial" w:eastAsia="Arial" w:hAnsi="Arial"/>
                <w:b w:val="1"/>
                <w:bCs w:val="1"/>
                <w:color w:val="d97736"/>
                <w:sz w:val="24"/>
                <w:szCs w:val="24"/>
                <w:rtl w:val="0"/>
              </w:rPr>
              <w:t xml:space="preserve">MedPay Core Target</w:t>
            </w:r>
            <w:r w:rsidDel="00000000" w:rsidR="00000000" w:rsidRPr="00000000">
              <w:rPr>
                <w:rtl w:val="0"/>
              </w:rPr>
            </w:r>
          </w:p>
        </w:tc>
      </w:tr>
      <w:tr>
        <w:trPr>
          <w:cantSplit w:val="1"/>
          <w:tblHeader w:val="0"/>
        </w:trPr>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5F">
            <w:pPr>
              <w:spacing w:after="180" w:before="180" w:lineRule="auto"/>
              <w:jc w:val="both"/>
              <w:rPr/>
            </w:pPr>
            <w:r w:rsidDel="00000000" w:rsidR="00000000" w:rsidRPr="00000000">
              <w:rPr>
                <w:rFonts w:ascii="Arial" w:cs="Arial" w:eastAsia="Arial" w:hAnsi="Arial"/>
                <w:b w:val="1"/>
                <w:bCs w:val="1"/>
                <w:color w:val="363b46"/>
                <w:sz w:val="24"/>
                <w:szCs w:val="24"/>
                <w:rtl w:val="0"/>
              </w:rPr>
              <w:t xml:space="preserve">Facet Joint Injections / Medial Branch Blocks (MBBs)</w:t>
            </w:r>
            <w:r w:rsidDel="00000000" w:rsidR="00000000" w:rsidRPr="00000000">
              <w:rPr>
                <w:rtl w:val="0"/>
              </w:rPr>
            </w:r>
          </w:p>
        </w:tc>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60">
            <w:pPr>
              <w:spacing w:after="180" w:before="180" w:lineRule="auto"/>
              <w:jc w:val="both"/>
              <w:rPr/>
            </w:pPr>
            <w:r w:rsidDel="00000000" w:rsidR="00000000" w:rsidRPr="00000000">
              <w:rPr>
                <w:rFonts w:ascii="Arial" w:cs="Arial" w:eastAsia="Arial" w:hAnsi="Arial"/>
                <w:b w:val="1"/>
                <w:bCs w:val="1"/>
                <w:color w:val="d97736"/>
                <w:sz w:val="24"/>
                <w:szCs w:val="24"/>
                <w:rtl w:val="0"/>
              </w:rPr>
              <w:t xml:space="preserve">MedPay Core Target</w:t>
            </w:r>
            <w:r w:rsidDel="00000000" w:rsidR="00000000" w:rsidRPr="00000000">
              <w:rPr>
                <w:rtl w:val="0"/>
              </w:rPr>
            </w:r>
          </w:p>
        </w:tc>
      </w:tr>
      <w:tr>
        <w:trPr>
          <w:cantSplit w:val="1"/>
          <w:tblHeader w:val="0"/>
        </w:trPr>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61">
            <w:pPr>
              <w:spacing w:after="180" w:before="180" w:lineRule="auto"/>
              <w:jc w:val="both"/>
              <w:rPr/>
            </w:pPr>
            <w:r w:rsidDel="00000000" w:rsidR="00000000" w:rsidRPr="00000000">
              <w:rPr>
                <w:rFonts w:ascii="Arial" w:cs="Arial" w:eastAsia="Arial" w:hAnsi="Arial"/>
                <w:b w:val="1"/>
                <w:bCs w:val="1"/>
                <w:color w:val="363b46"/>
                <w:sz w:val="24"/>
                <w:szCs w:val="24"/>
                <w:rtl w:val="0"/>
              </w:rPr>
              <w:t xml:space="preserve">Radiofrequency Ablations (RFAs) &amp; Long-Term Nerve Pathway Relief</w:t>
            </w:r>
            <w:r w:rsidDel="00000000" w:rsidR="00000000" w:rsidRPr="00000000">
              <w:rPr>
                <w:rtl w:val="0"/>
              </w:rPr>
            </w:r>
          </w:p>
        </w:tc>
        <w:tc>
          <w:tcPr>
            <w:tcBorders>
              <w:top w:color="d97736" w:space="0" w:sz="6" w:val="single"/>
              <w:left w:color="d97736" w:space="0" w:sz="6" w:val="single"/>
              <w:bottom w:color="d97736" w:space="0" w:sz="6" w:val="single"/>
              <w:right w:color="d97736" w:space="0" w:sz="6" w:val="single"/>
            </w:tcBorders>
            <w:shd w:fill="ffffff" w:val="clear"/>
            <w:tcMar>
              <w:top w:w="180.0" w:type="dxa"/>
              <w:left w:w="180.0" w:type="dxa"/>
              <w:bottom w:w="180.0" w:type="dxa"/>
              <w:right w:w="180.0" w:type="dxa"/>
            </w:tcMar>
          </w:tcPr>
          <w:p w:rsidR="00000000" w:rsidDel="00000000" w:rsidP="00000000" w:rsidRDefault="00000000" w:rsidRPr="00000000" w14:paraId="00000062">
            <w:pPr>
              <w:spacing w:after="180" w:before="180" w:lineRule="auto"/>
              <w:jc w:val="both"/>
              <w:rPr/>
            </w:pPr>
            <w:r w:rsidDel="00000000" w:rsidR="00000000" w:rsidRPr="00000000">
              <w:rPr>
                <w:rFonts w:ascii="Arial" w:cs="Arial" w:eastAsia="Arial" w:hAnsi="Arial"/>
                <w:b w:val="1"/>
                <w:bCs w:val="1"/>
                <w:color w:val="d97736"/>
                <w:sz w:val="24"/>
                <w:szCs w:val="24"/>
                <w:rtl w:val="0"/>
              </w:rPr>
              <w:t xml:space="preserve">LOP Special Damages</w:t>
            </w:r>
            <w:r w:rsidDel="00000000" w:rsidR="00000000" w:rsidRPr="00000000">
              <w:rPr>
                <w:rtl w:val="0"/>
              </w:rPr>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0" w:before="225" w:lineRule="auto"/>
        <w:jc w:val="both"/>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Rule="auto"/>
        <w:ind w:left="0" w:firstLine="0"/>
        <w:jc w:val="both"/>
        <w:rPr/>
      </w:pPr>
      <w:r w:rsidDel="00000000" w:rsidR="00000000" w:rsidRPr="00000000">
        <w:rPr>
          <w:rtl w:val="0"/>
        </w:rPr>
      </w:r>
    </w:p>
    <w:sectPr>
      <w:headerReference r:id="rId6"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2085975</wp:posOffset>
          </wp:positionH>
          <wp:positionV relativeFrom="paragraph">
            <wp:posOffset>-781049</wp:posOffset>
          </wp:positionV>
          <wp:extent cx="1366838" cy="88737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6838" cy="8873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63b46"/>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color w:val="d97736"/>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240" w:lineRule="auto"/>
      <w:ind w:left="0" w:right="0" w:firstLine="0"/>
      <w:jc w:val="left"/>
    </w:pPr>
    <w:rPr>
      <w:rFonts w:ascii="Arial" w:cs="Arial" w:eastAsia="Arial" w:hAnsi="Arial"/>
      <w:b w:val="1"/>
      <w:bCs w:val="1"/>
      <w:i w:val="0"/>
      <w:iCs w:val="0"/>
      <w:color w:val="d97736"/>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color w:val="d97736"/>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Arial" w:cs="Arial" w:eastAsia="Arial" w:hAnsi="Arial"/>
      <w:b w:val="1"/>
      <w:bCs w:val="1"/>
      <w:i w:val="0"/>
      <w:iCs w:val="0"/>
      <w:color w:val="d97736"/>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240" w:lineRule="auto"/>
      <w:ind w:left="0" w:right="0" w:firstLine="0"/>
      <w:jc w:val="left"/>
    </w:pPr>
    <w:rPr>
      <w:rFonts w:ascii="Arial" w:cs="Arial" w:eastAsia="Arial" w:hAnsi="Arial"/>
      <w:b w:val="1"/>
      <w:bCs w:val="1"/>
      <w:i w:val="0"/>
      <w:iCs w:val="0"/>
      <w:color w:val="d97736"/>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240" w:lineRule="auto"/>
      <w:ind w:left="0" w:right="0" w:firstLine="0"/>
      <w:jc w:val="left"/>
    </w:pPr>
    <w:rPr>
      <w:rFonts w:ascii="Arial" w:cs="Arial" w:eastAsia="Arial" w:hAnsi="Arial"/>
      <w:b w:val="1"/>
      <w:bCs w:val="1"/>
      <w:i w:val="0"/>
      <w:iCs w:val="0"/>
      <w:color w:val="d97736"/>
      <w:sz w:val="16"/>
      <w:szCs w:val="16"/>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Arial" w:cs="Arial" w:eastAsia="Arial" w:hAnsi="Arial"/>
      <w:b w:val="1"/>
      <w:bCs w:val="1"/>
      <w:color w:val="d97736"/>
      <w:sz w:val="72"/>
      <w:szCs w:val="72"/>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