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7" w:type="dxa"/>
        <w:tblLayout w:type="fixed"/>
        <w:tblCellMar>
          <w:top w:w="60" w:type="dxa"/>
          <w:left w:w="60" w:type="dxa"/>
          <w:bottom w:w="60" w:type="dxa"/>
          <w:right w:w="60" w:type="dxa"/>
        </w:tblCellMar>
      </w:tblPr>
      <w:tblGrid>
        <w:gridCol w:w="6803"/>
        <w:gridCol w:w="4536"/>
      </w:tblGrid>
      <w:tr>
        <w:trPr/>
        <w:tc>
          <w:tcPr>
            <w:tcW w:w="6803"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sz w:val="22"/>
              </w:rPr>
            </w:pPr>
            <w:r>
              <w:rPr>
                <w:sz w:val="22"/>
              </w:rPr>
              <w:t>LSH CMS · Matter Record Export</w:t>
            </w:r>
          </w:p>
        </w:tc>
        <w:tc>
          <w:tcPr>
            <w:tcW w:w="4536"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b w:val="false"/>
              </w:rPr>
            </w:pPr>
            <w:r>
              <w:rPr>
                <w:b w:val="false"/>
              </w:rPr>
              <w:t>Export format: editable (.docx)</w:t>
            </w:r>
          </w:p>
        </w:tc>
      </w:tr>
      <w:tr>
        <w:trPr/>
        <w:tc>
          <w:tcPr>
            <w:tcW w:w="680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Matter LSH-2026-MVA-770412 · John Doe v. Robert Smith</w:t>
            </w:r>
          </w:p>
        </w:tc>
        <w:tc>
          <w:tcPr>
            <w:tcW w:w="4536"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Exported 02/10/2026 08:42 AM by Case Manager</w:t>
            </w:r>
          </w:p>
        </w:tc>
      </w:tr>
    </w:tbl>
    <w:p>
      <w:pPr>
        <w:pStyle w:val="Heading2sans"/>
        <w:bidi w:val="0"/>
        <w:jc w:val="left"/>
        <w:rPr/>
      </w:pPr>
      <w:r>
        <w:rPr/>
        <w:t>1. Matter</w:t>
      </w:r>
    </w:p>
    <w:tbl>
      <w:tblPr>
        <w:tblW w:w="5000" w:type="pct"/>
        <w:jc w:val="left"/>
        <w:tblInd w:w="-7" w:type="dxa"/>
        <w:tblLayout w:type="fixed"/>
        <w:tblCellMar>
          <w:top w:w="60" w:type="dxa"/>
          <w:left w:w="60" w:type="dxa"/>
          <w:bottom w:w="60" w:type="dxa"/>
          <w:right w:w="60"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3"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Matter number</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LSH-2026-MVA-770412</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Matter name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John Doe v. Robert Smith</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Case type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Motor Vehicle Accident — Personal Injury</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Status</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Pre-Litigation — Intake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Lead counsel</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Atty. Elijah Thone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Case manager</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Case Manager, LSH Law Group (ext. 214)</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Referral source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On the Records</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Intake date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02/09/2026</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Retainer signed</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02/09/2026</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HIPAA authorization signed</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02/09/2026</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Record created / last modified</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02/09/2026 11:30 AM / 02/10/2026 08:40 AM</w:t>
            </w:r>
          </w:p>
        </w:tc>
      </w:tr>
    </w:tbl>
    <w:p>
      <w:pPr>
        <w:pStyle w:val="Heading2sans"/>
        <w:bidi w:val="0"/>
        <w:jc w:val="left"/>
        <w:rPr/>
      </w:pPr>
      <w:r>
        <w:rPr/>
        <w:t>2. Client</w:t>
      </w:r>
    </w:p>
    <w:tbl>
      <w:tblPr>
        <w:tblW w:w="5000" w:type="pct"/>
        <w:jc w:val="left"/>
        <w:tblInd w:w="-7" w:type="dxa"/>
        <w:tblLayout w:type="fixed"/>
        <w:tblCellMar>
          <w:top w:w="60" w:type="dxa"/>
          <w:left w:w="60" w:type="dxa"/>
          <w:bottom w:w="60" w:type="dxa"/>
          <w:right w:w="60" w:type="dxa"/>
        </w:tblCellMar>
      </w:tblPr>
      <w:tblGrid>
        <w:gridCol w:w="3853"/>
        <w:gridCol w:w="7485"/>
      </w:tblGrid>
      <w:tr>
        <w:trPr/>
        <w:tc>
          <w:tcPr>
            <w:tcW w:w="3853"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5"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Client name</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John Doe</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Date of birth</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08/14/1990</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Client role</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Driver</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Home address</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2214 Maple Hollow Rd, Riverton</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Mobile phone</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(555) 010-2288</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Email</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john.doe@example.com</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Preferred contact</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Mobile — text first, then call</w:t>
            </w:r>
          </w:p>
        </w:tc>
      </w:tr>
      <w:tr>
        <w:trPr/>
        <w:tc>
          <w:tcPr>
            <w:tcW w:w="385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Language</w:t>
            </w:r>
          </w:p>
        </w:tc>
        <w:tc>
          <w:tcPr>
            <w:tcW w:w="748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English</w:t>
            </w:r>
          </w:p>
        </w:tc>
      </w:tr>
    </w:tbl>
    <w:p>
      <w:pPr>
        <w:pStyle w:val="Heading2sans"/>
        <w:bidi w:val="0"/>
        <w:jc w:val="left"/>
        <w:rPr/>
      </w:pPr>
      <w:r>
        <w:rPr/>
        <w:t>3. Emergency contact</w:t>
      </w:r>
    </w:p>
    <w:tbl>
      <w:tblPr>
        <w:tblW w:w="5000" w:type="pct"/>
        <w:jc w:val="left"/>
        <w:tblInd w:w="-7" w:type="dxa"/>
        <w:tblLayout w:type="fixed"/>
        <w:tblCellMar>
          <w:top w:w="60" w:type="dxa"/>
          <w:left w:w="60" w:type="dxa"/>
          <w:bottom w:w="60" w:type="dxa"/>
          <w:right w:w="60"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3"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Name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Margaret Doe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Relationship</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Mother (resident relative — same household)</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Address</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2214 Maple Hollow Rd, Riverton</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Phone</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(555) 010-2291</w:t>
            </w:r>
          </w:p>
        </w:tc>
      </w:tr>
    </w:tbl>
    <w:p>
      <w:pPr>
        <w:pStyle w:val="Heading2sans"/>
        <w:bidi w:val="0"/>
        <w:jc w:val="left"/>
        <w:rPr/>
      </w:pPr>
      <w:r>
        <w:rPr/>
        <w:t>4. Employment</w:t>
      </w:r>
    </w:p>
    <w:tbl>
      <w:tblPr>
        <w:tblW w:w="5000" w:type="pct"/>
        <w:jc w:val="left"/>
        <w:tblInd w:w="-7" w:type="dxa"/>
        <w:tblLayout w:type="fixed"/>
        <w:tblCellMar>
          <w:top w:w="60" w:type="dxa"/>
          <w:left w:w="60" w:type="dxa"/>
          <w:bottom w:w="60" w:type="dxa"/>
          <w:right w:w="60"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3"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Employer</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Northgate Distribution, 900 Industrial Pkwy, Riverton</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Position</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Warehouse shift lead</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Start date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01/12/2026</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Pay rate / shift</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$22.00 per hour / 8-hour shifts</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HR contact</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Angela Ruiz, HR manager</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Lost time</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Out of work from 02/09/2026 (unpaid)</w:t>
            </w:r>
          </w:p>
        </w:tc>
      </w:tr>
    </w:tbl>
    <w:p>
      <w:pPr>
        <w:pStyle w:val="Heading2sans"/>
        <w:bidi w:val="0"/>
        <w:jc w:val="left"/>
        <w:rPr/>
      </w:pPr>
      <w:r>
        <w:rPr/>
        <w:t>5. Incident</w:t>
      </w:r>
    </w:p>
    <w:tbl>
      <w:tblPr>
        <w:tblW w:w="5000" w:type="pct"/>
        <w:jc w:val="left"/>
        <w:tblInd w:w="-7" w:type="dxa"/>
        <w:tblLayout w:type="fixed"/>
        <w:tblCellMar>
          <w:top w:w="60" w:type="dxa"/>
          <w:left w:w="60" w:type="dxa"/>
          <w:bottom w:w="60" w:type="dxa"/>
          <w:right w:w="60"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3"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Date of loss</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02/06/2026 (Friday)</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Time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Approx. 7:10 AM</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Location</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Maple Hollow Rd &amp; Birch Ave, Riverton (all-way stop)</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Police report</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Riverton PD · RPD-26-018842</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Citation</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Robert Smith — failure to stop at stop sign (per client)</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EMS</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Riverton Fire EMS at scene; transport declined</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Narrative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Client was the front-seat passenger in a 2020 Ford Escape driven by coworker Kevin Alvarez (carpool). The Escape stopped eastbound on Maple Hollow Rd and proceeded. Defendant Robert Smith, northbound on Birch Ave in a 2017 Chevrolet Silverado, failed to stop and struck the Escape's front passenger door, pushing it into client's parked 2019 Honda Civic. Neighbor witness. Doorbell camera at 2214 Maple Hollow Rd faces the intersection.</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Injuries reported</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Neck stiffness and soreness; headache</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Treatment to date</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None as of 02/09/2026 (OTC medication only)</w:t>
            </w:r>
          </w:p>
        </w:tc>
      </w:tr>
    </w:tbl>
    <w:p>
      <w:pPr>
        <w:pStyle w:val="Heading2sans"/>
        <w:bidi w:val="0"/>
        <w:jc w:val="left"/>
        <w:rPr/>
      </w:pPr>
      <w:r>
        <w:rPr/>
        <w:t>6. Parties</w:t>
      </w:r>
    </w:p>
    <w:tbl>
      <w:tblPr>
        <w:tblW w:w="5000" w:type="pct"/>
        <w:jc w:val="left"/>
        <w:tblInd w:w="-7" w:type="dxa"/>
        <w:tblLayout w:type="fixed"/>
        <w:tblCellMar>
          <w:top w:w="60" w:type="dxa"/>
          <w:left w:w="60" w:type="dxa"/>
          <w:bottom w:w="60" w:type="dxa"/>
          <w:right w:w="60" w:type="dxa"/>
        </w:tblCellMar>
      </w:tblPr>
      <w:tblGrid>
        <w:gridCol w:w="3853"/>
        <w:gridCol w:w="7485"/>
      </w:tblGrid>
      <w:tr>
        <w:trPr/>
        <w:tc>
          <w:tcPr>
            <w:tcW w:w="3853"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Role</w:t>
            </w:r>
          </w:p>
        </w:tc>
        <w:tc>
          <w:tcPr>
            <w:tcW w:w="7485"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Party</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Client / Plaintiff</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John Doe</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Defendant / Adverse driver</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Robert Smith, 118 Larkspur Ln, Riverton</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Host driver / owner</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Kevin Alvarez (coworker; separate household)</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Resident relative</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Margaret Doe (mother)</w:t>
            </w:r>
          </w:p>
        </w:tc>
      </w:tr>
      <w:tr>
        <w:trPr/>
        <w:tc>
          <w:tcPr>
            <w:tcW w:w="3853"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Witness</w:t>
            </w:r>
          </w:p>
        </w:tc>
        <w:tc>
          <w:tcPr>
            <w:tcW w:w="7485"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Neighbor — name to be confirmed from police report</w:t>
            </w:r>
          </w:p>
        </w:tc>
      </w:tr>
      <w:tr>
        <w:trPr/>
        <w:tc>
          <w:tcPr>
            <w:tcW w:w="3853"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Lead counsel</w:t>
            </w:r>
          </w:p>
        </w:tc>
        <w:tc>
          <w:tcPr>
            <w:tcW w:w="7485"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Atty. Elijah Thone, LSH Law Group</w:t>
            </w:r>
          </w:p>
        </w:tc>
      </w:tr>
    </w:tbl>
    <w:p>
      <w:pPr>
        <w:pStyle w:val="Heading2sans"/>
        <w:bidi w:val="0"/>
        <w:jc w:val="left"/>
        <w:rPr/>
      </w:pPr>
      <w:r>
        <w:rPr/>
        <w:t>7. Vehicles</w:t>
      </w:r>
    </w:p>
    <w:tbl>
      <w:tblPr>
        <w:tblW w:w="5000" w:type="pct"/>
        <w:jc w:val="left"/>
        <w:tblInd w:w="-7" w:type="dxa"/>
        <w:tblLayout w:type="fixed"/>
        <w:tblCellMar>
          <w:top w:w="60" w:type="dxa"/>
          <w:left w:w="60" w:type="dxa"/>
          <w:bottom w:w="60" w:type="dxa"/>
          <w:right w:w="60" w:type="dxa"/>
        </w:tblCellMar>
      </w:tblPr>
      <w:tblGrid>
        <w:gridCol w:w="3854"/>
        <w:gridCol w:w="7484"/>
      </w:tblGrid>
      <w:tr>
        <w:trPr/>
        <w:tc>
          <w:tcPr>
            <w:tcW w:w="3854"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Vehicle</w:t>
            </w:r>
          </w:p>
        </w:tc>
        <w:tc>
          <w:tcPr>
            <w:tcW w:w="7484"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Details</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Vehicle 1 — adverse</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2017 Chevrolet Silverado · driver/owner Robert Smith · Keystone Mutual Insurance</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Vehicle 2 — occupied by client</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2020 Ford Escape · driver/owner Kevin Alvarez · Harbor Point Insurance</w:t>
            </w:r>
          </w:p>
        </w:tc>
      </w:tr>
      <w:tr>
        <w:trPr/>
        <w:tc>
          <w:tcPr>
            <w:tcW w:w="385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Vehicle 3 — client's own (parked)</w:t>
            </w:r>
          </w:p>
        </w:tc>
        <w:tc>
          <w:tcPr>
            <w:tcW w:w="748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2019 Honda Civic LX · owner John Doe · Bluewater Auto Insurance · towed from scene</w:t>
            </w:r>
          </w:p>
        </w:tc>
      </w:tr>
    </w:tbl>
    <w:p>
      <w:pPr>
        <w:pStyle w:val="Heading2sans"/>
        <w:bidi w:val="0"/>
        <w:jc w:val="left"/>
        <w:rPr/>
      </w:pPr>
      <w:r>
        <w:rPr/>
        <w:t>8. Insurance</w:t>
      </w:r>
    </w:p>
    <w:tbl>
      <w:tblPr>
        <w:tblW w:w="5000" w:type="pct"/>
        <w:jc w:val="left"/>
        <w:tblInd w:w="-7" w:type="dxa"/>
        <w:tblLayout w:type="fixed"/>
        <w:tblCellMar>
          <w:top w:w="60" w:type="dxa"/>
          <w:left w:w="60" w:type="dxa"/>
          <w:bottom w:w="60" w:type="dxa"/>
          <w:right w:w="60" w:type="dxa"/>
        </w:tblCellMar>
      </w:tblPr>
      <w:tblGrid>
        <w:gridCol w:w="3855"/>
        <w:gridCol w:w="7483"/>
      </w:tblGrid>
      <w:tr>
        <w:trPr/>
        <w:tc>
          <w:tcPr>
            <w:tcW w:w="3855"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3"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Liability (BI) — Robert Smith</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Keystone Mutual Insurance · policy KMI-PA-7731045 · claim KM-26-440871 · adjuster Dana Whitfield · limit not yet confirmed in writing</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Property damage — client's Civic</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Keystone Mutual Insurance · claim KM-26-440871-PD · adjuster Leah Moran</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Host vehicle UM / MedPay — Kevin Alvarez</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Harbor Point Insurance · policy HPA-4402917 · claim HP-26-7741 · adjuster Marcus Bell · limits reported, declarations page requested</w:t>
            </w:r>
          </w:p>
        </w:tc>
      </w:tr>
      <w:tr>
        <w:trPr/>
        <w:tc>
          <w:tcPr>
            <w:tcW w:w="3855"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Resident relative UM — Margaret Doe</w:t>
            </w:r>
          </w:p>
        </w:tc>
        <w:tc>
          <w:tcPr>
            <w:tcW w:w="7483"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Cardinal State Mutual · policy CSM-AU-5580213 · claim CS-26-20355 · adjuster not yet assigned · declarations page requested</w:t>
            </w:r>
          </w:p>
        </w:tc>
      </w:tr>
      <w:tr>
        <w:trPr/>
        <w:tc>
          <w:tcPr>
            <w:tcW w:w="3855"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Client's own policy</w:t>
            </w:r>
          </w:p>
        </w:tc>
        <w:tc>
          <w:tcPr>
            <w:tcW w:w="7483"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Bluewater Auto Insurance · policy BWA-209-66184 · UM/UIM status unknown (client unsure)</w:t>
            </w:r>
          </w:p>
        </w:tc>
      </w:tr>
    </w:tbl>
    <w:p>
      <w:pPr>
        <w:pStyle w:val="Heading2sans"/>
        <w:bidi w:val="0"/>
        <w:jc w:val="left"/>
        <w:rPr/>
      </w:pPr>
      <w:r>
        <w:rPr/>
        <w:t>9. Health plan</w:t>
      </w:r>
    </w:p>
    <w:tbl>
      <w:tblPr>
        <w:tblW w:w="5000" w:type="pct"/>
        <w:jc w:val="left"/>
        <w:tblInd w:w="-7" w:type="dxa"/>
        <w:tblLayout w:type="fixed"/>
        <w:tblCellMar>
          <w:top w:w="60" w:type="dxa"/>
          <w:left w:w="60" w:type="dxa"/>
          <w:bottom w:w="60" w:type="dxa"/>
          <w:right w:w="60" w:type="dxa"/>
        </w:tblCellMar>
      </w:tblPr>
      <w:tblGrid>
        <w:gridCol w:w="3854"/>
        <w:gridCol w:w="7484"/>
      </w:tblGrid>
      <w:tr>
        <w:trPr/>
        <w:tc>
          <w:tcPr>
            <w:tcW w:w="3854"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Field</w:t>
            </w:r>
          </w:p>
        </w:tc>
        <w:tc>
          <w:tcPr>
            <w:tcW w:w="7484"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Value</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Plan</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Peach State Health Plan</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Member ID</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PSH-55017742</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Group</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GRP-41208 (Northgate Distribution)</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Effective date</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02/01/2026</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Medicare / Medicaid</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 No</w:t>
            </w:r>
          </w:p>
        </w:tc>
      </w:tr>
      <w:tr>
        <w:trPr/>
        <w:tc>
          <w:tcPr>
            <w:tcW w:w="385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Lien / reimbursement</w:t>
            </w:r>
          </w:p>
        </w:tc>
        <w:tc>
          <w:tcPr>
            <w:tcW w:w="748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Possible — plan to be notified</w:t>
            </w:r>
          </w:p>
        </w:tc>
      </w:tr>
    </w:tbl>
    <w:p>
      <w:pPr>
        <w:pStyle w:val="Heading2sans"/>
        <w:bidi w:val="0"/>
        <w:jc w:val="left"/>
        <w:rPr/>
      </w:pPr>
      <w:r>
        <w:rPr/>
        <w:t>10. Flags &amp; key dates</w:t>
      </w:r>
    </w:p>
    <w:tbl>
      <w:tblPr>
        <w:tblW w:w="5000" w:type="pct"/>
        <w:jc w:val="left"/>
        <w:tblInd w:w="-7" w:type="dxa"/>
        <w:tblLayout w:type="fixed"/>
        <w:tblCellMar>
          <w:top w:w="60" w:type="dxa"/>
          <w:left w:w="60" w:type="dxa"/>
          <w:bottom w:w="60" w:type="dxa"/>
          <w:right w:w="60" w:type="dxa"/>
        </w:tblCellMar>
      </w:tblPr>
      <w:tblGrid>
        <w:gridCol w:w="3854"/>
        <w:gridCol w:w="7484"/>
      </w:tblGrid>
      <w:tr>
        <w:trPr/>
        <w:tc>
          <w:tcPr>
            <w:tcW w:w="3854" w:type="dxa"/>
            <w:tcBorders>
              <w:top w:val="single" w:sz="6" w:space="0" w:color="808080"/>
              <w:left w:val="single" w:sz="6" w:space="0" w:color="808080"/>
              <w:bottom w:val="single" w:sz="2" w:space="0" w:color="808080"/>
              <w:right w:val="single" w:sz="6" w:space="0" w:color="808080"/>
            </w:tcBorders>
            <w:shd w:fill="E9ECF3" w:val="clear"/>
            <w:vAlign w:val="center"/>
          </w:tcPr>
          <w:p>
            <w:pPr>
              <w:pStyle w:val="TableHeading"/>
              <w:bidi w:val="0"/>
              <w:spacing w:before="0" w:after="283"/>
              <w:ind w:hanging="0" w:left="0" w:right="0"/>
              <w:jc w:val="left"/>
              <w:rPr/>
            </w:pPr>
            <w:r>
              <w:rPr/>
              <w:t>Flag</w:t>
            </w:r>
          </w:p>
        </w:tc>
        <w:tc>
          <w:tcPr>
            <w:tcW w:w="7484" w:type="dxa"/>
            <w:tcBorders>
              <w:top w:val="single" w:sz="6" w:space="0" w:color="808080"/>
              <w:left w:val="single" w:sz="2" w:space="0" w:color="808080"/>
              <w:bottom w:val="single" w:sz="2" w:space="0" w:color="808080"/>
              <w:right w:val="single" w:sz="6" w:space="0" w:color="808080"/>
            </w:tcBorders>
            <w:shd w:fill="E9ECF3" w:val="clear"/>
            <w:vAlign w:val="center"/>
          </w:tcPr>
          <w:p>
            <w:pPr>
              <w:pStyle w:val="TableHeading"/>
              <w:bidi w:val="0"/>
              <w:spacing w:before="0" w:after="283"/>
              <w:jc w:val="left"/>
              <w:rPr/>
            </w:pPr>
            <w:r>
              <w:rPr/>
              <w:t>Detail</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Statute of limitations</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02/06/2028 (Sunday) — internal hard date 02/04/2028</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Treatment gap</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No treatment since DOL — client referred to care</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Evidence preservation</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Doorbell video (Margaret Doe's camera) — preserve</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Transportation</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Client has no vehicle; no rental</w:t>
            </w:r>
          </w:p>
        </w:tc>
      </w:tr>
      <w:tr>
        <w:trPr/>
        <w:tc>
          <w:tcPr>
            <w:tcW w:w="3854" w:type="dxa"/>
            <w:tcBorders>
              <w:left w:val="single" w:sz="6" w:space="0" w:color="808080"/>
              <w:bottom w:val="single" w:sz="2" w:space="0" w:color="808080"/>
              <w:right w:val="single" w:sz="6" w:space="0" w:color="808080"/>
            </w:tcBorders>
            <w:vAlign w:val="center"/>
          </w:tcPr>
          <w:p>
            <w:pPr>
              <w:pStyle w:val="TableContents"/>
              <w:bidi w:val="0"/>
              <w:spacing w:before="0" w:after="283"/>
              <w:jc w:val="left"/>
              <w:rPr/>
            </w:pPr>
            <w:r>
              <w:rPr/>
              <w:t>Carrier contact</w:t>
            </w:r>
          </w:p>
        </w:tc>
        <w:tc>
          <w:tcPr>
            <w:tcW w:w="7484" w:type="dxa"/>
            <w:tcBorders>
              <w:left w:val="single" w:sz="2" w:space="0" w:color="808080"/>
              <w:bottom w:val="single" w:sz="2" w:space="0" w:color="808080"/>
              <w:right w:val="single" w:sz="6" w:space="0" w:color="808080"/>
            </w:tcBorders>
            <w:vAlign w:val="center"/>
          </w:tcPr>
          <w:p>
            <w:pPr>
              <w:pStyle w:val="TableContents"/>
              <w:bidi w:val="0"/>
              <w:spacing w:before="0" w:after="283"/>
              <w:jc w:val="left"/>
              <w:rPr/>
            </w:pPr>
            <w:r>
              <w:rPr/>
              <w:t>Keystone called client 02/07/2026 — no statement given; all contact through the firm</w:t>
            </w:r>
          </w:p>
        </w:tc>
      </w:tr>
      <w:tr>
        <w:trPr/>
        <w:tc>
          <w:tcPr>
            <w:tcW w:w="3854" w:type="dxa"/>
            <w:tcBorders>
              <w:left w:val="single" w:sz="6" w:space="0" w:color="808080"/>
              <w:bottom w:val="single" w:sz="6" w:space="0" w:color="808080"/>
              <w:right w:val="single" w:sz="6" w:space="0" w:color="808080"/>
            </w:tcBorders>
            <w:vAlign w:val="center"/>
          </w:tcPr>
          <w:p>
            <w:pPr>
              <w:pStyle w:val="TableContents"/>
              <w:bidi w:val="0"/>
              <w:spacing w:before="0" w:after="283"/>
              <w:jc w:val="left"/>
              <w:rPr/>
            </w:pPr>
            <w:r>
              <w:rPr/>
              <w:t>Social media</w:t>
            </w:r>
          </w:p>
        </w:tc>
        <w:tc>
          <w:tcPr>
            <w:tcW w:w="7484" w:type="dxa"/>
            <w:tcBorders>
              <w:left w:val="single" w:sz="2" w:space="0" w:color="808080"/>
              <w:bottom w:val="single" w:sz="6" w:space="0" w:color="808080"/>
              <w:right w:val="single" w:sz="6" w:space="0" w:color="808080"/>
            </w:tcBorders>
            <w:vAlign w:val="center"/>
          </w:tcPr>
          <w:p>
            <w:pPr>
              <w:pStyle w:val="TableContents"/>
              <w:bidi w:val="0"/>
              <w:spacing w:before="0" w:after="283"/>
              <w:jc w:val="left"/>
              <w:rPr/>
            </w:pPr>
            <w:r>
              <w:rPr/>
              <w:t>Advised to stop posting (INT-101)</w:t>
            </w:r>
          </w:p>
        </w:tc>
      </w:tr>
    </w:tbl>
    <w:p>
      <w:pPr>
        <w:pStyle w:val="BodyText"/>
        <w:bidi w:val="0"/>
        <w:spacing w:before="0" w:after="283"/>
        <w:jc w:val="left"/>
        <w:rPr/>
      </w:pPr>
      <w:r>
        <w:rPr/>
      </w:r>
    </w:p>
    <w:sectPr>
      <w:type w:val="nextPage"/>
      <w:pgSz w:w="11906" w:h="16838"/>
      <w:pgMar w:left="1080" w:right="1080" w:gutter="0" w:header="0" w:top="1008" w:footer="0" w:bottom="122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erif">
    <w:altName w:val="Times New Roman"/>
    <w:charset w:val="00"/>
    <w:family w:val="auto"/>
    <w:pitch w:val="default"/>
  </w:font>
  <w:font w:name="Noto Sans">
    <w:charset w:val="00"/>
    <w:family w:val="auto"/>
    <w:pitch w:val="variable"/>
  </w:font>
  <w:font w:name="Liberation Sans">
    <w:altName w:val="Arial"/>
    <w:charset w:val="00"/>
    <w:family w:val="swiss"/>
    <w:pitch w:val="variable"/>
  </w:font>
  <w:font w:name="Liberation Sans">
    <w:altName w:val="Arial"/>
    <w:charset w:val="00"/>
    <w:family w:val="auto"/>
    <w:pitch w:val="default"/>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31"/>
    </w:pPr>
    <w:rPr>
      <w:rFonts w:ascii="Liberation Serif;Times New Roman;Times;serif" w:hAnsi="Liberation Serif;Times New Roman;Times;serif" w:eastAsia="Liberation Serif;Times New Roman;Times;serif" w:cs="Liberation Serif;Times New Roman;Times;serif"/>
      <w:color w:val="111111"/>
      <w:sz w:val="22"/>
      <w:szCs w:val="22"/>
      <w:lang w:val="en-US" w:eastAsia="zh-CN" w:bidi="hi-IN"/>
    </w:rPr>
  </w:style>
  <w:style w:type="paragraph" w:styleId="Heading1">
    <w:name w:val="Heading 1"/>
    <w:basedOn w:val="Heading"/>
    <w:next w:val="BodyText"/>
    <w:qFormat/>
    <w:pPr>
      <w:spacing w:lineRule="auto" w:line="288"/>
    </w:pPr>
    <w:rPr>
      <w:rFonts w:ascii="Noto Sans" w:hAnsi="Noto Sans"/>
      <w:b/>
      <w:bCs/>
      <w:sz w:val="30"/>
      <w:szCs w:val="30"/>
    </w:rPr>
  </w:style>
  <w:style w:type="paragraph" w:styleId="Heading2">
    <w:name w:val="Heading 2"/>
    <w:basedOn w:val="Heading"/>
    <w:next w:val="BodyText"/>
    <w:qFormat/>
    <w:pPr>
      <w:spacing w:lineRule="auto" w:line="288" w:before="200" w:after="120"/>
      <w:outlineLvl w:val="1"/>
    </w:pPr>
    <w:rPr>
      <w:rFonts w:ascii="Liberation Serif" w:hAnsi="Liberation Serif" w:eastAsia="WenQuanYi Zen Hei" w:cs="FreeSans"/>
      <w:b/>
      <w:bCs/>
      <w:sz w:val="25"/>
      <w:szCs w:val="25"/>
    </w:rPr>
  </w:style>
  <w:style w:type="paragraph" w:styleId="Heading3">
    <w:name w:val="Heading 3"/>
    <w:basedOn w:val="Heading"/>
    <w:next w:val="BodyText"/>
    <w:qFormat/>
    <w:pPr>
      <w:spacing w:lineRule="auto" w:line="288" w:before="140" w:after="120"/>
      <w:outlineLvl w:val="2"/>
    </w:pPr>
    <w:rPr>
      <w:rFonts w:ascii="Liberation Serif" w:hAnsi="Liberation Serif" w:eastAsia="WenQuanYi Zen Hei" w:cs="FreeSans"/>
      <w:b/>
      <w:bCs/>
      <w:sz w:val="22"/>
      <w:szCs w:val="22"/>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Heading2sans">
    <w:name w:val="Heading 2.sans"/>
    <w:basedOn w:val="Heading2"/>
    <w:qFormat/>
    <w:pPr>
      <w:ind w:hanging="0" w:left="0"/>
      <w:outlineLvl w:val="9"/>
    </w:pPr>
    <w:rPr>
      <w:rFonts w:ascii="Liberation Sans;Arial;Helvetica;sans-serif" w:hAnsi="Liberation Sans;Arial;Helvetica;sans-serif" w:eastAsia="Liberation Sans;Arial;Helvetica;sans-serif" w:cs="Liberation Sans;Arial;Helvetica;sans-seri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RS03 LSH CMS Intake Record (editable)</dc:title>
</cp:coreProperties>
</file>

<file path=docProps/custom.xml><?xml version="1.0" encoding="utf-8"?>
<Properties xmlns="http://schemas.openxmlformats.org/officeDocument/2006/custom-properties" xmlns:vt="http://schemas.openxmlformats.org/officeDocument/2006/docPropsVTypes"/>
</file>